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14:paraId="3862F8E2" w14:textId="77777777" w:rsidTr="007B7453">
        <w:tc>
          <w:tcPr>
            <w:tcW w:w="509" w:type="dxa"/>
          </w:tcPr>
          <w:p w14:paraId="66EC4A3E"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bookmarkStart w:id="0" w:name="_Hlk180223832"/>
            <w:bookmarkEnd w:id="0"/>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1E925FC" w14:textId="77777777"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1"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771AC">
              <w:rPr>
                <w:rFonts w:ascii="黑体" w:eastAsia="黑体" w:hAnsi="黑体"/>
                <w:sz w:val="21"/>
                <w:szCs w:val="21"/>
              </w:rPr>
              <w:t xml:space="preserve"> </w:t>
            </w:r>
            <w:r>
              <w:rPr>
                <w:rFonts w:ascii="黑体" w:eastAsia="黑体" w:hAnsi="黑体"/>
                <w:sz w:val="21"/>
                <w:szCs w:val="21"/>
              </w:rPr>
              <w:fldChar w:fldCharType="end"/>
            </w:r>
            <w:bookmarkEnd w:id="1"/>
          </w:p>
        </w:tc>
      </w:tr>
      <w:tr w:rsidR="007B7453" w:rsidRPr="00672BFD" w14:paraId="2064F158" w14:textId="77777777" w:rsidTr="007B7453">
        <w:tc>
          <w:tcPr>
            <w:tcW w:w="509" w:type="dxa"/>
          </w:tcPr>
          <w:p w14:paraId="47F2C2C1"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472638FC" w14:textId="77777777"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2"/>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14:paraId="0F45F883" w14:textId="77777777" w:rsidTr="00DF5F11">
        <w:tc>
          <w:tcPr>
            <w:tcW w:w="6407" w:type="dxa"/>
          </w:tcPr>
          <w:p w14:paraId="5B8B6F9E" w14:textId="77777777" w:rsidR="001446C2" w:rsidRDefault="001446C2" w:rsidP="00DF5F11">
            <w:pPr>
              <w:pStyle w:val="affff5"/>
              <w:framePr w:w="0" w:hRule="auto" w:wrap="auto" w:hAnchor="text" w:xAlign="left" w:yAlign="inline" w:anchorLock="0"/>
              <w:rPr>
                <w:rFonts w:ascii="宋体" w:hAnsi="宋体" w:hint="eastAsia"/>
                <w:sz w:val="28"/>
                <w:szCs w:val="28"/>
              </w:rPr>
            </w:pPr>
            <w:bookmarkStart w:id="3" w:name="_Hlk26473981"/>
            <w:r>
              <w:rPr>
                <w:noProof/>
              </w:rPr>
              <w:drawing>
                <wp:inline distT="0" distB="0" distL="0" distR="0" wp14:anchorId="610B2A4F" wp14:editId="046311B6">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4" w:name="c1"/>
            <w:r>
              <w:instrText xml:space="preserve"> FORMTEXT </w:instrText>
            </w:r>
            <w:r>
              <w:fldChar w:fldCharType="separate"/>
            </w:r>
            <w:r w:rsidR="00AB41D5">
              <w:t> </w:t>
            </w:r>
            <w:r w:rsidR="00AB41D5">
              <w:t> </w:t>
            </w:r>
            <w:r w:rsidR="00AB41D5">
              <w:t> </w:t>
            </w:r>
            <w:r w:rsidR="00AB41D5">
              <w:t> </w:t>
            </w:r>
            <w:r w:rsidR="00AB41D5">
              <w:t> </w:t>
            </w:r>
            <w:r>
              <w:fldChar w:fldCharType="end"/>
            </w:r>
            <w:bookmarkEnd w:id="4"/>
          </w:p>
        </w:tc>
      </w:tr>
    </w:tbl>
    <w:p w14:paraId="0A5B7397" w14:textId="77777777" w:rsidR="0000040A" w:rsidRPr="007B7453" w:rsidRDefault="007B7453" w:rsidP="000107E0">
      <w:pPr>
        <w:pStyle w:val="affff6"/>
        <w:framePr w:w="9639" w:h="624" w:hRule="exact" w:hSpace="181" w:vSpace="181" w:wrap="around" w:hAnchor="page" w:x="1305" w:y="2269"/>
        <w:rPr>
          <w:rFonts w:ascii="黑体" w:eastAsia="黑体" w:hAnsi="黑体" w:hint="eastAsia"/>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5"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DF5F11">
        <w:rPr>
          <w:rFonts w:ascii="黑体" w:eastAsia="黑体"/>
          <w:b w:val="0"/>
          <w:w w:val="100"/>
          <w:sz w:val="48"/>
        </w:rPr>
        <w:t> </w:t>
      </w:r>
      <w:r w:rsidR="00DF5F11">
        <w:rPr>
          <w:rFonts w:ascii="黑体" w:eastAsia="黑体"/>
          <w:b w:val="0"/>
          <w:w w:val="100"/>
          <w:sz w:val="48"/>
        </w:rPr>
        <w:t> </w:t>
      </w:r>
      <w:r w:rsidR="00DF5F11">
        <w:rPr>
          <w:rFonts w:ascii="黑体" w:eastAsia="黑体"/>
          <w:b w:val="0"/>
          <w:w w:val="100"/>
          <w:sz w:val="48"/>
        </w:rPr>
        <w:t> </w:t>
      </w:r>
      <w:r w:rsidR="00DF5F11">
        <w:rPr>
          <w:rFonts w:ascii="黑体" w:eastAsia="黑体"/>
          <w:b w:val="0"/>
          <w:w w:val="100"/>
          <w:sz w:val="48"/>
        </w:rPr>
        <w:t> </w:t>
      </w:r>
      <w:r w:rsidR="00DF5F11">
        <w:rPr>
          <w:rFonts w:ascii="黑体" w:eastAsia="黑体"/>
          <w:b w:val="0"/>
          <w:w w:val="100"/>
          <w:sz w:val="48"/>
        </w:rPr>
        <w:t> </w:t>
      </w:r>
      <w:r w:rsidRPr="001A4CF3">
        <w:rPr>
          <w:rFonts w:ascii="黑体" w:eastAsia="黑体"/>
          <w:b w:val="0"/>
          <w:w w:val="100"/>
          <w:sz w:val="48"/>
        </w:rPr>
        <w:fldChar w:fldCharType="end"/>
      </w:r>
      <w:bookmarkEnd w:id="5"/>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3"/>
    <w:p w14:paraId="716E0B98" w14:textId="77777777" w:rsidR="00AA456B" w:rsidRPr="005F4712" w:rsidRDefault="00634D9E" w:rsidP="00A952D7">
      <w:pPr>
        <w:pStyle w:val="affffffffff3"/>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6" w:name="文字1"/>
      <w:r w:rsidR="005F4712" w:rsidRPr="005F4712">
        <w:rPr>
          <w:lang w:val="fr-FR"/>
        </w:rPr>
        <w:instrText xml:space="preserve"> FORMTEXT </w:instrText>
      </w:r>
      <w:r w:rsidR="005F4712">
        <w:fldChar w:fldCharType="separate"/>
      </w:r>
      <w:r w:rsidR="005F4712" w:rsidRPr="005F4712">
        <w:rPr>
          <w:lang w:val="fr-FR"/>
        </w:rPr>
        <w:t>XX/T</w:t>
      </w:r>
      <w:r w:rsidR="005F4712">
        <w:fldChar w:fldCharType="end"/>
      </w:r>
      <w:bookmarkEnd w:id="6"/>
      <w:r w:rsidRPr="005F4712">
        <w:rPr>
          <w:lang w:val="fr-FR"/>
        </w:rPr>
        <w:t xml:space="preserve"> </w:t>
      </w:r>
      <w:r w:rsidR="006E23EA">
        <w:fldChar w:fldCharType="begin">
          <w:ffData>
            <w:name w:val="NSTD_CODE_F"/>
            <w:enabled/>
            <w:calcOnExit w:val="0"/>
            <w:textInput>
              <w:default w:val="XXXX"/>
            </w:textInput>
          </w:ffData>
        </w:fldChar>
      </w:r>
      <w:bookmarkStart w:id="7"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7"/>
      <w:r w:rsidR="004644A6" w:rsidRPr="005F4712">
        <w:rPr>
          <w:rFonts w:hAnsi="黑体"/>
          <w:lang w:val="fr-FR"/>
        </w:rPr>
        <w:t>—</w:t>
      </w:r>
      <w:r w:rsidR="00087A77">
        <w:fldChar w:fldCharType="begin">
          <w:ffData>
            <w:name w:val="NSTD_CODE_B"/>
            <w:enabled/>
            <w:calcOnExit w:val="0"/>
            <w:textInput>
              <w:default w:val="XXXX"/>
            </w:textInput>
          </w:ffData>
        </w:fldChar>
      </w:r>
      <w:bookmarkStart w:id="8"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8"/>
    </w:p>
    <w:p w14:paraId="25BFB8B6" w14:textId="77777777"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9"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9"/>
    </w:p>
    <w:p w14:paraId="471DE693"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67AB3401" wp14:editId="2DF6EFBE">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3B08C"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612361AD" w14:textId="77777777"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14:paraId="2567269B" w14:textId="7DD4D66F" w:rsidR="006816A4" w:rsidRDefault="0012059C" w:rsidP="00463B77">
      <w:pPr>
        <w:pStyle w:val="affffffffff5"/>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10" w:name="CSTD_NAME"/>
      <w:r>
        <w:instrText xml:space="preserve"> FORMTEXT </w:instrText>
      </w:r>
      <w:r>
        <w:fldChar w:fldCharType="separate"/>
      </w:r>
      <w:r w:rsidR="004B7EC9">
        <w:rPr>
          <w:rFonts w:hint="eastAsia"/>
        </w:rPr>
        <w:t>建筑金属隔震支座应用技术导则</w:t>
      </w:r>
      <w:r>
        <w:fldChar w:fldCharType="end"/>
      </w:r>
      <w:bookmarkEnd w:id="10"/>
    </w:p>
    <w:p w14:paraId="0140CC59" w14:textId="77777777" w:rsidR="00815419" w:rsidRPr="00815419" w:rsidRDefault="00815419" w:rsidP="00324EDD">
      <w:pPr>
        <w:framePr w:w="9639" w:h="6974" w:hRule="exact" w:wrap="around" w:vAnchor="page" w:hAnchor="page" w:x="1419" w:y="6408" w:anchorLock="1"/>
        <w:ind w:left="-1418"/>
      </w:pPr>
    </w:p>
    <w:p w14:paraId="2DEC231D" w14:textId="77777777" w:rsidR="00755402" w:rsidRPr="00D3660F" w:rsidRDefault="00F515EE" w:rsidP="00463B77">
      <w:pPr>
        <w:pStyle w:val="afffffff5"/>
        <w:framePr w:w="9639" w:h="6974" w:hRule="exact" w:wrap="around" w:vAnchor="page" w:hAnchor="page" w:x="1419" w:y="6408" w:anchorLock="1"/>
        <w:textAlignment w:val="bottom"/>
        <w:rPr>
          <w:rFonts w:ascii="黑体" w:eastAsia="黑体" w:hAnsi="黑体" w:hint="eastAsia"/>
          <w:noProof/>
          <w:szCs w:val="28"/>
        </w:rPr>
      </w:pPr>
      <w:r w:rsidRPr="00D3660F">
        <w:rPr>
          <w:rFonts w:ascii="黑体" w:eastAsia="黑体" w:hAnsi="黑体"/>
          <w:noProof/>
          <w:szCs w:val="28"/>
        </w:rPr>
        <w:fldChar w:fldCharType="begin">
          <w:ffData>
            <w:name w:val="ESTD_NAME"/>
            <w:enabled/>
            <w:calcOnExit w:val="0"/>
            <w:textInput>
              <w:default w:val="点击此处添加标准名称的英文译名"/>
            </w:textInput>
          </w:ffData>
        </w:fldChar>
      </w:r>
      <w:bookmarkStart w:id="11" w:name="ESTD_NAME"/>
      <w:r w:rsidRPr="00D3660F">
        <w:rPr>
          <w:rFonts w:ascii="黑体" w:eastAsia="黑体" w:hAnsi="黑体"/>
          <w:noProof/>
          <w:szCs w:val="28"/>
        </w:rPr>
        <w:instrText xml:space="preserve"> FORMTEXT </w:instrText>
      </w:r>
      <w:r w:rsidRPr="00D3660F">
        <w:rPr>
          <w:rFonts w:ascii="黑体" w:eastAsia="黑体" w:hAnsi="黑体"/>
          <w:noProof/>
          <w:szCs w:val="28"/>
        </w:rPr>
      </w:r>
      <w:r w:rsidRPr="00D3660F">
        <w:rPr>
          <w:rFonts w:ascii="黑体" w:eastAsia="黑体" w:hAnsi="黑体"/>
          <w:noProof/>
          <w:szCs w:val="28"/>
        </w:rPr>
        <w:fldChar w:fldCharType="separate"/>
      </w:r>
      <w:r w:rsidRPr="00D3660F">
        <w:rPr>
          <w:rFonts w:ascii="黑体" w:eastAsia="黑体" w:hAnsi="黑体" w:hint="eastAsia"/>
          <w:noProof/>
          <w:szCs w:val="28"/>
        </w:rPr>
        <w:t>点击此处添加标准名称的英文译名</w:t>
      </w:r>
      <w:r w:rsidRPr="00D3660F">
        <w:rPr>
          <w:rFonts w:ascii="黑体" w:eastAsia="黑体" w:hAnsi="黑体"/>
          <w:noProof/>
          <w:szCs w:val="28"/>
        </w:rPr>
        <w:fldChar w:fldCharType="end"/>
      </w:r>
      <w:bookmarkEnd w:id="11"/>
    </w:p>
    <w:p w14:paraId="570BCC87" w14:textId="77777777" w:rsidR="00815419" w:rsidRPr="00324EDD" w:rsidRDefault="00815419" w:rsidP="00324EDD">
      <w:pPr>
        <w:framePr w:w="9639" w:h="6974" w:hRule="exact" w:wrap="around" w:vAnchor="page" w:hAnchor="page" w:x="1419" w:y="6408" w:anchorLock="1"/>
        <w:spacing w:line="760" w:lineRule="exact"/>
        <w:ind w:left="-1418"/>
      </w:pPr>
    </w:p>
    <w:p w14:paraId="7AB236D6"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21EEA588" w14:textId="28AAA7B6"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noProof/>
          <w:sz w:val="24"/>
          <w:szCs w:val="28"/>
        </w:rPr>
        <w:instrText xml:space="preserve"> FORMDROPDOWN </w:instrText>
      </w:r>
      <w:r w:rsidR="002B63DE">
        <w:rPr>
          <w:noProof/>
          <w:sz w:val="24"/>
          <w:szCs w:val="28"/>
        </w:rPr>
      </w:r>
      <w:r>
        <w:rPr>
          <w:noProof/>
          <w:sz w:val="24"/>
          <w:szCs w:val="28"/>
        </w:rPr>
        <w:fldChar w:fldCharType="separate"/>
      </w:r>
      <w:r>
        <w:rPr>
          <w:noProof/>
          <w:sz w:val="24"/>
          <w:szCs w:val="28"/>
        </w:rPr>
        <w:fldChar w:fldCharType="end"/>
      </w:r>
      <w:bookmarkEnd w:id="12"/>
    </w:p>
    <w:p w14:paraId="5B511A90" w14:textId="77777777"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3"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13"/>
    </w:p>
    <w:p w14:paraId="5174DD14" w14:textId="77777777"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sidRPr="00A6537A">
        <w:rPr>
          <w:b/>
          <w:noProof/>
          <w:sz w:val="21"/>
          <w:szCs w:val="28"/>
        </w:rPr>
        <w:instrText xml:space="preserve"> FORMDROPDOWN </w:instrText>
      </w:r>
      <w:r w:rsidRPr="00A6537A">
        <w:rPr>
          <w:b/>
          <w:noProof/>
          <w:sz w:val="21"/>
          <w:szCs w:val="28"/>
        </w:rPr>
      </w:r>
      <w:r w:rsidRPr="00A6537A">
        <w:rPr>
          <w:b/>
          <w:noProof/>
          <w:sz w:val="21"/>
          <w:szCs w:val="28"/>
        </w:rPr>
        <w:fldChar w:fldCharType="separate"/>
      </w:r>
      <w:r w:rsidRPr="00A6537A">
        <w:rPr>
          <w:b/>
          <w:noProof/>
          <w:sz w:val="21"/>
          <w:szCs w:val="28"/>
        </w:rPr>
        <w:fldChar w:fldCharType="end"/>
      </w:r>
      <w:bookmarkEnd w:id="14"/>
    </w:p>
    <w:p w14:paraId="0B522F25" w14:textId="5BD01380"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sidR="008208DF">
        <w:rPr>
          <w:rFonts w:ascii="黑体"/>
        </w:rPr>
      </w:r>
      <w:r>
        <w:rPr>
          <w:rFonts w:ascii="黑体"/>
        </w:rPr>
        <w:fldChar w:fldCharType="separate"/>
      </w:r>
      <w:r w:rsidR="008208DF">
        <w:rPr>
          <w:rFonts w:ascii="黑体"/>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rPr>
          <w:rFonts w:hint="eastAsia"/>
        </w:rPr>
        <w:t>发布</w:t>
      </w:r>
    </w:p>
    <w:p w14:paraId="6AE760FA"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20"/>
      <w:r w:rsidR="00CD50A1">
        <w:rPr>
          <w:rFonts w:hint="eastAsia"/>
        </w:rPr>
        <w:t>实施</w:t>
      </w:r>
    </w:p>
    <w:p w14:paraId="49803C0C" w14:textId="77777777" w:rsidR="007B7453" w:rsidRPr="004C7E8B" w:rsidRDefault="007B7453" w:rsidP="00A4006C">
      <w:pPr>
        <w:pStyle w:val="affffffff5"/>
        <w:framePr w:h="584" w:hRule="exact" w:hSpace="181" w:vSpace="181" w:wrap="around" w:y="15027"/>
        <w:rPr>
          <w:rFonts w:hAnsi="黑体" w:hint="eastAsia"/>
        </w:rPr>
      </w:pPr>
      <w:r w:rsidRPr="004C7E8B">
        <w:rPr>
          <w:rFonts w:hAnsi="黑体"/>
          <w:w w:val="100"/>
          <w:sz w:val="28"/>
        </w:rPr>
        <w:fldChar w:fldCharType="begin">
          <w:ffData>
            <w:name w:val="fm"/>
            <w:enabled/>
            <w:calcOnExit w:val="0"/>
            <w:textInput/>
          </w:ffData>
        </w:fldChar>
      </w:r>
      <w:bookmarkStart w:id="21"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w w:val="100"/>
          <w:sz w:val="28"/>
        </w:rPr>
        <w:fldChar w:fldCharType="end"/>
      </w:r>
      <w:bookmarkEnd w:id="21"/>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578C817C" w14:textId="77777777" w:rsidR="00A02BAE" w:rsidRPr="00CD50A1" w:rsidRDefault="006A37B9" w:rsidP="00A02BAE">
      <w:pPr>
        <w:rPr>
          <w:rFonts w:ascii="宋体" w:hAnsi="宋体" w:hint="eastAsia"/>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75581CA5" wp14:editId="504FD0D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04DF0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1477D694" w14:textId="77777777" w:rsidR="002B63DE" w:rsidRDefault="002B63DE" w:rsidP="00EF5F71">
      <w:pPr>
        <w:pStyle w:val="affffff2"/>
        <w:rPr>
          <w:spacing w:val="320"/>
        </w:rPr>
      </w:pPr>
      <w:bookmarkStart w:id="22" w:name="_Toc180227711"/>
      <w:bookmarkStart w:id="23" w:name="_Toc180651839"/>
      <w:bookmarkStart w:id="24" w:name="BookMark1"/>
    </w:p>
    <w:p w14:paraId="5920207D" w14:textId="77777777" w:rsidR="002B63DE" w:rsidRDefault="002B63DE">
      <w:pPr>
        <w:widowControl/>
        <w:adjustRightInd/>
        <w:spacing w:line="240" w:lineRule="auto"/>
        <w:jc w:val="left"/>
        <w:rPr>
          <w:rFonts w:ascii="黑体" w:eastAsia="黑体"/>
          <w:spacing w:val="320"/>
          <w:sz w:val="32"/>
        </w:rPr>
      </w:pPr>
      <w:r>
        <w:rPr>
          <w:spacing w:val="320"/>
        </w:rPr>
        <w:br w:type="page"/>
      </w:r>
    </w:p>
    <w:p w14:paraId="288D5FF5" w14:textId="546F9E7E" w:rsidR="00EF5F71" w:rsidRDefault="00EF5F71" w:rsidP="00EF5F71">
      <w:pPr>
        <w:pStyle w:val="affffff2"/>
        <w:rPr>
          <w:rFonts w:hint="eastAsia"/>
        </w:rPr>
      </w:pPr>
      <w:r w:rsidRPr="00EF5F71">
        <w:rPr>
          <w:rFonts w:hint="eastAsia"/>
          <w:spacing w:val="320"/>
        </w:rPr>
        <w:lastRenderedPageBreak/>
        <w:t>目</w:t>
      </w:r>
      <w:r>
        <w:rPr>
          <w:rFonts w:hint="eastAsia"/>
        </w:rPr>
        <w:t>次</w:t>
      </w:r>
    </w:p>
    <w:p w14:paraId="7EFD2D12" w14:textId="7D5C046C"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r w:rsidRPr="00EF5F71">
        <w:fldChar w:fldCharType="begin"/>
      </w:r>
      <w:r w:rsidRPr="00EF5F71">
        <w:instrText xml:space="preserve"> TOC \o "1-1" \h </w:instrText>
      </w:r>
      <w:r w:rsidRPr="00EF5F71">
        <w:fldChar w:fldCharType="separate"/>
      </w:r>
      <w:hyperlink w:anchor="_Toc180654604" w:history="1">
        <w:r w:rsidRPr="00EF5F71">
          <w:rPr>
            <w:rStyle w:val="affffffe"/>
            <w:rFonts w:ascii="Times New Roman" w:hint="eastAsia"/>
            <w:noProof/>
          </w:rPr>
          <w:t>前言</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_Toc180654604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II</w:t>
        </w:r>
        <w:r w:rsidRPr="00EF5F71">
          <w:rPr>
            <w:rFonts w:hint="eastAsia"/>
            <w:noProof/>
          </w:rPr>
          <w:fldChar w:fldCharType="end"/>
        </w:r>
      </w:hyperlink>
    </w:p>
    <w:p w14:paraId="51B71A47" w14:textId="0A58D3BD"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05" w:history="1">
        <w:r w:rsidRPr="00EF5F71">
          <w:rPr>
            <w:rStyle w:val="affffffe"/>
            <w:rFonts w:hint="eastAsia"/>
            <w:noProof/>
          </w:rPr>
          <w:t>1</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范围</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_Toc180654605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w:t>
        </w:r>
        <w:r w:rsidRPr="00EF5F71">
          <w:rPr>
            <w:rFonts w:hint="eastAsia"/>
            <w:noProof/>
          </w:rPr>
          <w:fldChar w:fldCharType="end"/>
        </w:r>
      </w:hyperlink>
    </w:p>
    <w:p w14:paraId="7877F0AE" w14:textId="318CDBF0"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06" w:history="1">
        <w:r w:rsidRPr="00EF5F71">
          <w:rPr>
            <w:rStyle w:val="affffffe"/>
            <w:rFonts w:hint="eastAsia"/>
            <w:noProof/>
          </w:rPr>
          <w:t>2</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规范性引用文件</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_Toc180654606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w:t>
        </w:r>
        <w:r w:rsidRPr="00EF5F71">
          <w:rPr>
            <w:rFonts w:hint="eastAsia"/>
            <w:noProof/>
          </w:rPr>
          <w:fldChar w:fldCharType="end"/>
        </w:r>
      </w:hyperlink>
    </w:p>
    <w:p w14:paraId="2C5929B7" w14:textId="04088A60"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07" w:history="1">
        <w:r w:rsidRPr="00EF5F71">
          <w:rPr>
            <w:rStyle w:val="affffffe"/>
            <w:rFonts w:hint="eastAsia"/>
            <w:noProof/>
          </w:rPr>
          <w:t>3</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术语和定义</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_Toc180654607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w:t>
        </w:r>
        <w:r w:rsidRPr="00EF5F71">
          <w:rPr>
            <w:rFonts w:hint="eastAsia"/>
            <w:noProof/>
          </w:rPr>
          <w:fldChar w:fldCharType="end"/>
        </w:r>
      </w:hyperlink>
    </w:p>
    <w:p w14:paraId="73A21789" w14:textId="684A20AD"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08" w:history="1">
        <w:r w:rsidRPr="00EF5F71">
          <w:rPr>
            <w:rStyle w:val="affffffe"/>
            <w:rFonts w:hint="eastAsia"/>
            <w:noProof/>
          </w:rPr>
          <w:t>4</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组成与分类</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_Toc180654608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w:t>
        </w:r>
        <w:r w:rsidRPr="00EF5F71">
          <w:rPr>
            <w:rFonts w:hint="eastAsia"/>
            <w:noProof/>
          </w:rPr>
          <w:fldChar w:fldCharType="end"/>
        </w:r>
      </w:hyperlink>
    </w:p>
    <w:p w14:paraId="2C6DDC9B" w14:textId="36F56E48"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09" w:history="1">
        <w:r w:rsidRPr="00EF5F71">
          <w:rPr>
            <w:rStyle w:val="affffffe"/>
            <w:rFonts w:hint="eastAsia"/>
            <w:noProof/>
          </w:rPr>
          <w:t>5</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基本规定</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_Toc180654609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2</w:t>
        </w:r>
        <w:r w:rsidRPr="00EF5F71">
          <w:rPr>
            <w:rFonts w:hint="eastAsia"/>
            <w:noProof/>
          </w:rPr>
          <w:fldChar w:fldCharType="end"/>
        </w:r>
      </w:hyperlink>
    </w:p>
    <w:p w14:paraId="0DB4E746" w14:textId="5D8EB835"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10" w:history="1">
        <w:r w:rsidRPr="00EF5F71">
          <w:rPr>
            <w:rStyle w:val="affffffe"/>
            <w:rFonts w:hint="eastAsia"/>
            <w:noProof/>
          </w:rPr>
          <w:t>6</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隔震建筑设计</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_Toc180654610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7</w:t>
        </w:r>
        <w:r w:rsidRPr="00EF5F71">
          <w:rPr>
            <w:rFonts w:hint="eastAsia"/>
            <w:noProof/>
          </w:rPr>
          <w:fldChar w:fldCharType="end"/>
        </w:r>
      </w:hyperlink>
    </w:p>
    <w:p w14:paraId="70192E69" w14:textId="248F56DF"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11" w:history="1">
        <w:r w:rsidRPr="00EF5F71">
          <w:rPr>
            <w:rStyle w:val="affffffe"/>
            <w:rFonts w:hint="eastAsia"/>
            <w:noProof/>
          </w:rPr>
          <w:t>7</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进场与验收</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_Toc180654611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10</w:t>
        </w:r>
        <w:r w:rsidRPr="00EF5F71">
          <w:rPr>
            <w:rFonts w:hint="eastAsia"/>
            <w:noProof/>
          </w:rPr>
          <w:fldChar w:fldCharType="end"/>
        </w:r>
      </w:hyperlink>
    </w:p>
    <w:p w14:paraId="11166503" w14:textId="0756B6D0"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12" w:history="1">
        <w:r w:rsidRPr="00EF5F71">
          <w:rPr>
            <w:rStyle w:val="affffffe"/>
            <w:rFonts w:hint="eastAsia"/>
            <w:noProof/>
          </w:rPr>
          <w:t>8</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施工与安装</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_Toc180654612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11</w:t>
        </w:r>
        <w:r w:rsidRPr="00EF5F71">
          <w:rPr>
            <w:rFonts w:hint="eastAsia"/>
            <w:noProof/>
          </w:rPr>
          <w:fldChar w:fldCharType="end"/>
        </w:r>
      </w:hyperlink>
    </w:p>
    <w:p w14:paraId="232DE91A" w14:textId="118AB7C7" w:rsidR="00EF5F71" w:rsidRPr="00EF5F71" w:rsidRDefault="00EF5F7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0654613" w:history="1">
        <w:r w:rsidRPr="00EF5F71">
          <w:rPr>
            <w:rStyle w:val="affffffe"/>
            <w:rFonts w:hint="eastAsia"/>
            <w:noProof/>
          </w:rPr>
          <w:t>9</w:t>
        </w:r>
        <w:r>
          <w:rPr>
            <w:rStyle w:val="affffffe"/>
            <w:noProof/>
          </w:rPr>
          <w:t xml:space="preserve"> </w:t>
        </w:r>
        <w:r w:rsidRPr="00EF5F71">
          <w:rPr>
            <w:rStyle w:val="affffffe"/>
            <w:rFonts w:ascii="Times New Roman" w:hint="eastAsia"/>
            <w:noProof/>
          </w:rPr>
          <w:t xml:space="preserve"> </w:t>
        </w:r>
        <w:r w:rsidRPr="00EF5F71">
          <w:rPr>
            <w:rStyle w:val="affffffe"/>
            <w:rFonts w:ascii="Times New Roman" w:hint="eastAsia"/>
            <w:noProof/>
          </w:rPr>
          <w:t>维护与保养</w:t>
        </w:r>
        <w:r w:rsidRPr="00EF5F71">
          <w:rPr>
            <w:rFonts w:hint="eastAsia"/>
            <w:noProof/>
          </w:rPr>
          <w:tab/>
        </w:r>
        <w:r w:rsidRPr="00EF5F71">
          <w:rPr>
            <w:rFonts w:hint="eastAsia"/>
            <w:noProof/>
          </w:rPr>
          <w:fldChar w:fldCharType="begin"/>
        </w:r>
        <w:r w:rsidRPr="00EF5F71">
          <w:rPr>
            <w:rFonts w:hint="eastAsia"/>
            <w:noProof/>
          </w:rPr>
          <w:instrText xml:space="preserve"> </w:instrText>
        </w:r>
        <w:r w:rsidRPr="00EF5F71">
          <w:rPr>
            <w:noProof/>
          </w:rPr>
          <w:instrText>PAGEREF _Toc180654613 \h</w:instrText>
        </w:r>
        <w:r w:rsidRPr="00EF5F71">
          <w:rPr>
            <w:rFonts w:hint="eastAsia"/>
            <w:noProof/>
          </w:rPr>
          <w:instrText xml:space="preserve"> </w:instrText>
        </w:r>
        <w:r w:rsidRPr="00EF5F71">
          <w:rPr>
            <w:rFonts w:hint="eastAsia"/>
            <w:noProof/>
          </w:rPr>
        </w:r>
        <w:r w:rsidRPr="00EF5F71">
          <w:rPr>
            <w:noProof/>
          </w:rPr>
          <w:fldChar w:fldCharType="separate"/>
        </w:r>
        <w:r w:rsidR="00E60327">
          <w:rPr>
            <w:noProof/>
          </w:rPr>
          <w:t>15</w:t>
        </w:r>
        <w:r w:rsidRPr="00EF5F71">
          <w:rPr>
            <w:rFonts w:hint="eastAsia"/>
            <w:noProof/>
          </w:rPr>
          <w:fldChar w:fldCharType="end"/>
        </w:r>
      </w:hyperlink>
    </w:p>
    <w:p w14:paraId="25D19FF9" w14:textId="33544916" w:rsidR="00EF5F71" w:rsidRPr="00EF5F71" w:rsidRDefault="00EF5F71" w:rsidP="00EF5F71">
      <w:pPr>
        <w:pStyle w:val="affffff2"/>
        <w:sectPr w:rsidR="00EF5F71" w:rsidRPr="00EF5F71" w:rsidSect="00EF5F71">
          <w:headerReference w:type="even" r:id="rId15"/>
          <w:headerReference w:type="default" r:id="rId16"/>
          <w:footerReference w:type="default" r:id="rId17"/>
          <w:pgSz w:w="11906" w:h="16838" w:code="9"/>
          <w:pgMar w:top="1928" w:right="1134" w:bottom="1134" w:left="1134" w:header="1418" w:footer="1134" w:gutter="284"/>
          <w:pgNumType w:fmt="upperRoman" w:start="1"/>
          <w:cols w:space="425"/>
          <w:formProt w:val="0"/>
          <w:docGrid w:type="lines" w:linePitch="312"/>
        </w:sectPr>
      </w:pPr>
      <w:r w:rsidRPr="00EF5F71">
        <w:fldChar w:fldCharType="end"/>
      </w:r>
    </w:p>
    <w:p w14:paraId="657E60E2" w14:textId="77777777" w:rsidR="008652BD" w:rsidRPr="00DC2CC9" w:rsidRDefault="008652BD" w:rsidP="008652BD">
      <w:pPr>
        <w:pStyle w:val="a6"/>
        <w:spacing w:before="900" w:after="468"/>
        <w:rPr>
          <w:rFonts w:ascii="Times New Roman"/>
        </w:rPr>
      </w:pPr>
      <w:bookmarkStart w:id="25" w:name="BookMark2"/>
      <w:bookmarkStart w:id="26" w:name="_Toc180654604"/>
      <w:bookmarkEnd w:id="24"/>
      <w:r w:rsidRPr="00DC2CC9">
        <w:rPr>
          <w:rFonts w:ascii="Times New Roman" w:hint="eastAsia"/>
          <w:spacing w:val="320"/>
        </w:rPr>
        <w:lastRenderedPageBreak/>
        <w:t>前</w:t>
      </w:r>
      <w:r w:rsidRPr="00DC2CC9">
        <w:rPr>
          <w:rFonts w:ascii="Times New Roman" w:hint="eastAsia"/>
        </w:rPr>
        <w:t>言</w:t>
      </w:r>
      <w:bookmarkEnd w:id="22"/>
      <w:bookmarkEnd w:id="23"/>
      <w:bookmarkEnd w:id="26"/>
    </w:p>
    <w:p w14:paraId="13AC9F8D" w14:textId="77777777" w:rsidR="008652BD" w:rsidRPr="00DC2CC9" w:rsidRDefault="008652BD" w:rsidP="008652BD">
      <w:pPr>
        <w:pStyle w:val="affffb"/>
        <w:ind w:firstLine="420"/>
        <w:rPr>
          <w:rFonts w:ascii="Times New Roman"/>
        </w:rPr>
      </w:pPr>
      <w:r w:rsidRPr="00DC2CC9">
        <w:rPr>
          <w:rFonts w:ascii="Times New Roman" w:hint="eastAsia"/>
        </w:rPr>
        <w:t>本文件按照</w:t>
      </w:r>
      <w:r w:rsidRPr="00DC2CC9">
        <w:rPr>
          <w:rFonts w:ascii="Times New Roman" w:hint="eastAsia"/>
        </w:rPr>
        <w:t>GB/T 1.1</w:t>
      </w:r>
      <w:r w:rsidRPr="00DC2CC9">
        <w:rPr>
          <w:rFonts w:ascii="Times New Roman" w:hint="eastAsia"/>
        </w:rPr>
        <w:t>—</w:t>
      </w:r>
      <w:r w:rsidRPr="00DC2CC9">
        <w:rPr>
          <w:rFonts w:ascii="Times New Roman" w:hint="eastAsia"/>
        </w:rPr>
        <w:t>2020</w:t>
      </w:r>
      <w:r w:rsidRPr="00DC2CC9">
        <w:rPr>
          <w:rFonts w:ascii="Times New Roman" w:hint="eastAsia"/>
        </w:rPr>
        <w:t>《标准化工作导则</w:t>
      </w:r>
      <w:r w:rsidRPr="00DC2CC9">
        <w:rPr>
          <w:rFonts w:ascii="Times New Roman" w:hint="eastAsia"/>
        </w:rPr>
        <w:t xml:space="preserve">  </w:t>
      </w:r>
      <w:r w:rsidRPr="00DC2CC9">
        <w:rPr>
          <w:rFonts w:ascii="Times New Roman" w:hint="eastAsia"/>
        </w:rPr>
        <w:t>第</w:t>
      </w:r>
      <w:r w:rsidRPr="00DC2CC9">
        <w:rPr>
          <w:rFonts w:ascii="Times New Roman" w:hint="eastAsia"/>
        </w:rPr>
        <w:t>1</w:t>
      </w:r>
      <w:r w:rsidRPr="00DC2CC9">
        <w:rPr>
          <w:rFonts w:ascii="Times New Roman" w:hint="eastAsia"/>
        </w:rPr>
        <w:t>部分：标准化文件的结构和起草规则》的规定起草。</w:t>
      </w:r>
    </w:p>
    <w:p w14:paraId="01739897" w14:textId="77777777" w:rsidR="008652BD" w:rsidRPr="00DC2CC9" w:rsidRDefault="008652BD" w:rsidP="008652BD">
      <w:pPr>
        <w:pStyle w:val="affffb"/>
        <w:ind w:firstLine="420"/>
        <w:rPr>
          <w:rFonts w:ascii="Times New Roman"/>
        </w:rPr>
      </w:pPr>
    </w:p>
    <w:p w14:paraId="18D74541" w14:textId="77777777" w:rsidR="008652BD" w:rsidRPr="00DC2CC9" w:rsidRDefault="008652BD" w:rsidP="008652BD">
      <w:pPr>
        <w:pStyle w:val="affffb"/>
        <w:ind w:firstLine="420"/>
        <w:rPr>
          <w:rFonts w:ascii="Times New Roman"/>
        </w:rPr>
      </w:pPr>
    </w:p>
    <w:p w14:paraId="304705CA" w14:textId="77777777" w:rsidR="008652BD" w:rsidRPr="00DC2CC9" w:rsidRDefault="008652BD" w:rsidP="008652BD">
      <w:pPr>
        <w:pStyle w:val="affffb"/>
        <w:ind w:firstLine="420"/>
        <w:rPr>
          <w:rFonts w:ascii="Times New Roman"/>
        </w:rPr>
      </w:pPr>
    </w:p>
    <w:p w14:paraId="6E8BF1E1" w14:textId="77777777" w:rsidR="008652BD" w:rsidRPr="00DC2CC9" w:rsidRDefault="008652BD" w:rsidP="008652BD">
      <w:pPr>
        <w:pStyle w:val="affffb"/>
        <w:ind w:firstLine="420"/>
        <w:rPr>
          <w:rFonts w:ascii="Times New Roman"/>
        </w:rPr>
      </w:pPr>
      <w:r w:rsidRPr="00DC2CC9">
        <w:rPr>
          <w:rFonts w:ascii="Times New Roman" w:hint="eastAsia"/>
        </w:rPr>
        <w:t>本文件由××××提出。</w:t>
      </w:r>
    </w:p>
    <w:p w14:paraId="56EF99FC" w14:textId="77777777" w:rsidR="008652BD" w:rsidRPr="00DC2CC9" w:rsidRDefault="008652BD" w:rsidP="008652BD">
      <w:pPr>
        <w:pStyle w:val="affffb"/>
        <w:ind w:firstLine="420"/>
        <w:rPr>
          <w:rFonts w:ascii="Times New Roman"/>
        </w:rPr>
      </w:pPr>
      <w:r w:rsidRPr="00DC2CC9">
        <w:rPr>
          <w:rFonts w:ascii="Times New Roman" w:hint="eastAsia"/>
        </w:rPr>
        <w:t>本文件由××××归口。</w:t>
      </w:r>
    </w:p>
    <w:p w14:paraId="4F61D4CC" w14:textId="77777777" w:rsidR="008652BD" w:rsidRPr="00DC2CC9" w:rsidRDefault="008652BD" w:rsidP="008652BD">
      <w:pPr>
        <w:pStyle w:val="affffb"/>
        <w:ind w:firstLine="420"/>
        <w:rPr>
          <w:rFonts w:ascii="Times New Roman"/>
        </w:rPr>
      </w:pPr>
      <w:r w:rsidRPr="00DC2CC9">
        <w:rPr>
          <w:rFonts w:ascii="Times New Roman" w:hint="eastAsia"/>
        </w:rPr>
        <w:t>本文件起草单位：</w:t>
      </w:r>
    </w:p>
    <w:p w14:paraId="63779F3E" w14:textId="77777777" w:rsidR="008652BD" w:rsidRPr="00DC2CC9" w:rsidRDefault="008652BD" w:rsidP="008652BD">
      <w:pPr>
        <w:pStyle w:val="affffb"/>
        <w:ind w:firstLine="420"/>
        <w:rPr>
          <w:rFonts w:ascii="Times New Roman"/>
        </w:rPr>
      </w:pPr>
      <w:r w:rsidRPr="00DC2CC9">
        <w:rPr>
          <w:rFonts w:ascii="Times New Roman" w:hint="eastAsia"/>
        </w:rPr>
        <w:t>本文件主要起草人：</w:t>
      </w:r>
    </w:p>
    <w:p w14:paraId="43913F54" w14:textId="77777777" w:rsidR="008652BD" w:rsidRPr="00DC2CC9" w:rsidRDefault="008652BD" w:rsidP="008652BD">
      <w:pPr>
        <w:pStyle w:val="affffb"/>
        <w:ind w:firstLine="420"/>
        <w:rPr>
          <w:rFonts w:ascii="Times New Roman"/>
        </w:rPr>
      </w:pPr>
    </w:p>
    <w:p w14:paraId="56EC0EA4" w14:textId="772D7138" w:rsidR="008652BD" w:rsidRPr="00DC2CC9" w:rsidRDefault="008652BD" w:rsidP="008652BD">
      <w:pPr>
        <w:pStyle w:val="affffb"/>
        <w:ind w:firstLine="420"/>
        <w:rPr>
          <w:rFonts w:ascii="Times New Roman"/>
        </w:rPr>
        <w:sectPr w:rsidR="008652BD" w:rsidRPr="00DC2CC9" w:rsidSect="008652BD">
          <w:pgSz w:w="11906" w:h="16838" w:code="9"/>
          <w:pgMar w:top="1928" w:right="1134" w:bottom="1134" w:left="1134" w:header="1418" w:footer="1134" w:gutter="284"/>
          <w:pgNumType w:fmt="upperRoman"/>
          <w:cols w:space="425"/>
          <w:formProt w:val="0"/>
          <w:docGrid w:type="lines" w:linePitch="312"/>
        </w:sectPr>
      </w:pPr>
    </w:p>
    <w:p w14:paraId="445045D1" w14:textId="77777777" w:rsidR="00894836" w:rsidRPr="00DC2CC9" w:rsidRDefault="00894836" w:rsidP="00093D25">
      <w:pPr>
        <w:spacing w:line="20" w:lineRule="exact"/>
        <w:jc w:val="center"/>
        <w:rPr>
          <w:rFonts w:ascii="Times New Roman" w:eastAsia="黑体" w:hAnsi="Times New Roman"/>
          <w:sz w:val="32"/>
          <w:szCs w:val="32"/>
        </w:rPr>
      </w:pPr>
      <w:bookmarkStart w:id="27" w:name="BookMark4"/>
      <w:bookmarkEnd w:id="25"/>
    </w:p>
    <w:p w14:paraId="56933F9C" w14:textId="77777777" w:rsidR="00894836" w:rsidRPr="00DC2CC9" w:rsidRDefault="00894836" w:rsidP="00093D25">
      <w:pPr>
        <w:spacing w:line="20" w:lineRule="exact"/>
        <w:jc w:val="center"/>
        <w:rPr>
          <w:rFonts w:ascii="Times New Roman" w:eastAsia="黑体" w:hAnsi="Times New Roman"/>
          <w:sz w:val="32"/>
          <w:szCs w:val="32"/>
        </w:rPr>
      </w:pPr>
    </w:p>
    <w:sdt>
      <w:sdtPr>
        <w:rPr>
          <w:rFonts w:ascii="Times New Roman" w:hAnsi="Times New Roman"/>
        </w:rPr>
        <w:tag w:val="NEW_STAND_NAME"/>
        <w:id w:val="595910757"/>
        <w:lock w:val="sdtLocked"/>
        <w:placeholder>
          <w:docPart w:val="63BA9182E32245408D3E106A3B367FC0"/>
        </w:placeholder>
      </w:sdtPr>
      <w:sdtContent>
        <w:bookmarkStart w:id="28" w:name="NEW_STAND_NAME" w:displacedByCustomXml="prev"/>
        <w:p w14:paraId="69FC37F5" w14:textId="11086AB8" w:rsidR="00F26B7E" w:rsidRPr="00DC2CC9" w:rsidRDefault="00927B66" w:rsidP="004B7EC9">
          <w:pPr>
            <w:pStyle w:val="afffffffff8"/>
            <w:spacing w:beforeLines="1" w:before="3" w:afterLines="220" w:after="686"/>
            <w:rPr>
              <w:rFonts w:ascii="Times New Roman" w:hAnsi="Times New Roman"/>
            </w:rPr>
          </w:pPr>
          <w:r w:rsidRPr="00DC2CC9">
            <w:rPr>
              <w:rFonts w:ascii="Times New Roman" w:hAnsi="Times New Roman" w:hint="eastAsia"/>
            </w:rPr>
            <w:t>建筑金属隔震支座应用技术导则</w:t>
          </w:r>
        </w:p>
      </w:sdtContent>
    </w:sdt>
    <w:bookmarkEnd w:id="28" w:displacedByCustomXml="prev"/>
    <w:p w14:paraId="0BFBAE9D" w14:textId="77777777" w:rsidR="00E2552F" w:rsidRPr="00DC2CC9" w:rsidRDefault="00E2552F" w:rsidP="00A77CCB">
      <w:pPr>
        <w:pStyle w:val="affc"/>
        <w:spacing w:before="312" w:after="312"/>
        <w:rPr>
          <w:rFonts w:ascii="Times New Roman"/>
        </w:rPr>
      </w:pPr>
      <w:bookmarkStart w:id="29" w:name="_Toc17233325"/>
      <w:bookmarkStart w:id="30" w:name="_Toc17233333"/>
      <w:bookmarkStart w:id="31" w:name="_Toc24884211"/>
      <w:bookmarkStart w:id="32" w:name="_Toc24884218"/>
      <w:bookmarkStart w:id="33" w:name="_Toc26648465"/>
      <w:bookmarkStart w:id="34" w:name="_Toc26718930"/>
      <w:bookmarkStart w:id="35" w:name="_Toc26986530"/>
      <w:bookmarkStart w:id="36" w:name="_Toc26986771"/>
      <w:bookmarkStart w:id="37" w:name="_Toc97191423"/>
      <w:bookmarkStart w:id="38" w:name="_Toc180225947"/>
      <w:bookmarkStart w:id="39" w:name="_Toc180225961"/>
      <w:bookmarkStart w:id="40" w:name="_Toc180227712"/>
      <w:bookmarkStart w:id="41" w:name="_Toc180651840"/>
      <w:bookmarkStart w:id="42" w:name="_Toc180654605"/>
      <w:r w:rsidRPr="00DC2CC9">
        <w:rPr>
          <w:rFonts w:ascii="Times New Roman" w:hint="eastAsia"/>
        </w:rPr>
        <w:t>范围</w:t>
      </w:r>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765456BB" w14:textId="5159E967" w:rsidR="00521F71" w:rsidRPr="00DC2CC9" w:rsidRDefault="00521F71" w:rsidP="008B0C9C">
      <w:pPr>
        <w:pStyle w:val="affffb"/>
        <w:ind w:firstLine="420"/>
        <w:rPr>
          <w:rFonts w:ascii="Times New Roman"/>
        </w:rPr>
      </w:pPr>
      <w:bookmarkStart w:id="43" w:name="_Toc17233326"/>
      <w:bookmarkStart w:id="44" w:name="_Toc17233334"/>
      <w:bookmarkStart w:id="45" w:name="_Toc24884212"/>
      <w:bookmarkStart w:id="46" w:name="_Toc24884219"/>
      <w:bookmarkStart w:id="47" w:name="_Toc26648466"/>
      <w:r w:rsidRPr="00DC2CC9">
        <w:rPr>
          <w:rFonts w:ascii="Times New Roman" w:hint="eastAsia"/>
        </w:rPr>
        <w:t>本文件规定了建筑金属隔震支座的基本定义，组成与分类，</w:t>
      </w:r>
      <w:r w:rsidR="00995F74" w:rsidRPr="00DC2CC9">
        <w:rPr>
          <w:rFonts w:ascii="Times New Roman" w:hint="eastAsia"/>
        </w:rPr>
        <w:t>技术要求，进场与验收，施工与安装，维护与保养</w:t>
      </w:r>
      <w:r w:rsidR="00EF4403" w:rsidRPr="00DC2CC9">
        <w:rPr>
          <w:rFonts w:ascii="Times New Roman" w:hint="eastAsia"/>
        </w:rPr>
        <w:t>。</w:t>
      </w:r>
    </w:p>
    <w:p w14:paraId="4B8F2776" w14:textId="39F3054A" w:rsidR="00EF4403" w:rsidRPr="00DC2CC9" w:rsidRDefault="009F3CD7" w:rsidP="008B0C9C">
      <w:pPr>
        <w:pStyle w:val="affffb"/>
        <w:ind w:firstLine="420"/>
        <w:rPr>
          <w:rFonts w:ascii="Times New Roman"/>
        </w:rPr>
      </w:pPr>
      <w:r w:rsidRPr="00DC2CC9">
        <w:rPr>
          <w:rFonts w:ascii="Times New Roman" w:hint="eastAsia"/>
        </w:rPr>
        <w:t>本文件适用于</w:t>
      </w:r>
      <w:r w:rsidR="0043012B" w:rsidRPr="00DC2CC9">
        <w:rPr>
          <w:rFonts w:ascii="Times New Roman" w:hint="eastAsia"/>
        </w:rPr>
        <w:t>建筑领域所使用到的建筑金属隔震支座的应用。</w:t>
      </w:r>
    </w:p>
    <w:p w14:paraId="625BBEBC" w14:textId="1C9042CA" w:rsidR="00E2552F" w:rsidRPr="00DC2CC9" w:rsidRDefault="00521F71" w:rsidP="00A77CCB">
      <w:pPr>
        <w:pStyle w:val="affc"/>
        <w:spacing w:before="312" w:after="312"/>
        <w:rPr>
          <w:rFonts w:ascii="Times New Roman"/>
        </w:rPr>
      </w:pPr>
      <w:bookmarkStart w:id="48" w:name="_Toc26718931"/>
      <w:bookmarkStart w:id="49" w:name="_Toc26986531"/>
      <w:bookmarkStart w:id="50" w:name="_Toc26986772"/>
      <w:bookmarkStart w:id="51" w:name="_Toc97191424"/>
      <w:bookmarkStart w:id="52" w:name="_Toc180225948"/>
      <w:bookmarkStart w:id="53" w:name="_Toc180225962"/>
      <w:bookmarkStart w:id="54" w:name="_Toc180227713"/>
      <w:bookmarkStart w:id="55" w:name="_Toc180651841"/>
      <w:bookmarkStart w:id="56" w:name="_Toc180654606"/>
      <w:r w:rsidRPr="00DC2CC9">
        <w:rPr>
          <w:rFonts w:ascii="Times New Roman" w:hint="eastAsia"/>
        </w:rPr>
        <w:t>规范性引用文件</w:t>
      </w:r>
      <w:bookmarkEnd w:id="43"/>
      <w:bookmarkEnd w:id="44"/>
      <w:bookmarkEnd w:id="45"/>
      <w:bookmarkEnd w:id="46"/>
      <w:bookmarkEnd w:id="47"/>
      <w:bookmarkEnd w:id="48"/>
      <w:bookmarkEnd w:id="49"/>
      <w:bookmarkEnd w:id="50"/>
      <w:bookmarkEnd w:id="51"/>
      <w:bookmarkEnd w:id="52"/>
      <w:bookmarkEnd w:id="53"/>
      <w:bookmarkEnd w:id="54"/>
      <w:bookmarkEnd w:id="55"/>
      <w:bookmarkEnd w:id="56"/>
    </w:p>
    <w:sdt>
      <w:sdtPr>
        <w:rPr>
          <w:rFonts w:ascii="Times New Roman" w:hint="eastAsia"/>
        </w:rPr>
        <w:id w:val="715848253"/>
        <w:placeholder>
          <w:docPart w:val="95B1F67DD9304FAF95C727864D07E1C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74B114E6" w14:textId="77777777" w:rsidR="008A57E6" w:rsidRPr="00DC2CC9" w:rsidRDefault="008A57E6" w:rsidP="008A57E6">
          <w:pPr>
            <w:pStyle w:val="affffb"/>
            <w:ind w:firstLine="420"/>
            <w:rPr>
              <w:rFonts w:ascii="Times New Roman"/>
            </w:rPr>
          </w:pPr>
          <w:r w:rsidRPr="00DC2CC9">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F067568" w14:textId="6FF614F8" w:rsidR="00472893" w:rsidRPr="00DC2CC9" w:rsidRDefault="00472893" w:rsidP="00472893">
      <w:pPr>
        <w:pStyle w:val="affffb"/>
        <w:ind w:firstLine="420"/>
        <w:rPr>
          <w:rFonts w:ascii="Times New Roman" w:hint="eastAsia"/>
        </w:rPr>
      </w:pPr>
      <w:r w:rsidRPr="00DC2CC9">
        <w:rPr>
          <w:rFonts w:ascii="Times New Roman"/>
        </w:rPr>
        <w:t>GB</w:t>
      </w:r>
      <w:r w:rsidRPr="00DC2CC9">
        <w:rPr>
          <w:rFonts w:ascii="Times New Roman" w:hint="eastAsia"/>
        </w:rPr>
        <w:t xml:space="preserve"> </w:t>
      </w:r>
      <w:r w:rsidRPr="00DC2CC9">
        <w:rPr>
          <w:rFonts w:ascii="Times New Roman"/>
        </w:rPr>
        <w:t>50011</w:t>
      </w:r>
      <w:r w:rsidRPr="00DC2CC9">
        <w:rPr>
          <w:rFonts w:ascii="Times New Roman" w:hint="eastAsia"/>
        </w:rPr>
        <w:t xml:space="preserve">  </w:t>
      </w:r>
      <w:r w:rsidRPr="00DC2CC9">
        <w:rPr>
          <w:rFonts w:ascii="Times New Roman"/>
        </w:rPr>
        <w:t>建筑抗震设计规范</w:t>
      </w:r>
    </w:p>
    <w:p w14:paraId="6CE50022" w14:textId="5BB97956" w:rsidR="00C9592B" w:rsidRPr="00DC2CC9" w:rsidRDefault="00C9592B" w:rsidP="00F65893">
      <w:pPr>
        <w:pStyle w:val="affffb"/>
        <w:ind w:firstLine="420"/>
        <w:rPr>
          <w:rFonts w:ascii="Times New Roman"/>
        </w:rPr>
      </w:pPr>
      <w:r w:rsidRPr="00DC2CC9">
        <w:rPr>
          <w:rFonts w:ascii="Times New Roman" w:hint="eastAsia"/>
        </w:rPr>
        <w:t>GB 50223</w:t>
      </w:r>
      <w:r w:rsidRPr="00DC2CC9">
        <w:rPr>
          <w:rFonts w:ascii="Times New Roman" w:hint="eastAsia"/>
        </w:rPr>
        <w:t xml:space="preserve">  </w:t>
      </w:r>
      <w:r w:rsidRPr="00DC2CC9">
        <w:rPr>
          <w:rFonts w:ascii="Times New Roman" w:hint="eastAsia"/>
        </w:rPr>
        <w:t>建筑工程抗震设防分类标准</w:t>
      </w:r>
    </w:p>
    <w:p w14:paraId="21F88A34" w14:textId="474F3B24" w:rsidR="00A538B6" w:rsidRDefault="00A538B6" w:rsidP="00F65893">
      <w:pPr>
        <w:pStyle w:val="affffb"/>
        <w:ind w:firstLine="420"/>
        <w:rPr>
          <w:rFonts w:ascii="Times New Roman"/>
        </w:rPr>
      </w:pPr>
      <w:r w:rsidRPr="00DC2CC9">
        <w:rPr>
          <w:rFonts w:ascii="Times New Roman" w:hint="eastAsia"/>
        </w:rPr>
        <w:t>GB 50868</w:t>
      </w:r>
      <w:r w:rsidRPr="00DC2CC9">
        <w:rPr>
          <w:rFonts w:ascii="Times New Roman" w:hint="eastAsia"/>
        </w:rPr>
        <w:t xml:space="preserve">  </w:t>
      </w:r>
      <w:r w:rsidRPr="00DC2CC9">
        <w:rPr>
          <w:rFonts w:ascii="Times New Roman" w:hint="eastAsia"/>
        </w:rPr>
        <w:t>建筑工程容许振动标准</w:t>
      </w:r>
    </w:p>
    <w:p w14:paraId="1C3AA910" w14:textId="2194F921" w:rsidR="0067177B" w:rsidRPr="00DC2CC9" w:rsidRDefault="0067177B" w:rsidP="0067177B">
      <w:pPr>
        <w:pStyle w:val="affffb"/>
        <w:ind w:firstLine="420"/>
        <w:rPr>
          <w:rFonts w:ascii="Times New Roman" w:hint="eastAsia"/>
        </w:rPr>
      </w:pPr>
      <w:r w:rsidRPr="00DC2CC9">
        <w:rPr>
          <w:rFonts w:ascii="Times New Roman" w:hint="eastAsia"/>
        </w:rPr>
        <w:t>GB/T 37358</w:t>
      </w:r>
      <w:r w:rsidRPr="00DC2CC9">
        <w:rPr>
          <w:rFonts w:ascii="Times New Roman"/>
        </w:rPr>
        <w:tab/>
      </w:r>
      <w:r w:rsidRPr="00DC2CC9">
        <w:rPr>
          <w:rFonts w:ascii="Times New Roman" w:hint="eastAsia"/>
        </w:rPr>
        <w:t>建筑摩擦摆隔震支座</w:t>
      </w:r>
    </w:p>
    <w:p w14:paraId="0CDEFC1D" w14:textId="578E6659" w:rsidR="000D6052" w:rsidRPr="00DC2CC9" w:rsidRDefault="000D6052" w:rsidP="00F65893">
      <w:pPr>
        <w:pStyle w:val="affffb"/>
        <w:ind w:firstLine="420"/>
        <w:rPr>
          <w:rFonts w:ascii="Times New Roman" w:hint="eastAsia"/>
        </w:rPr>
      </w:pPr>
      <w:r w:rsidRPr="00DC2CC9">
        <w:rPr>
          <w:rFonts w:ascii="Times New Roman" w:hint="eastAsia"/>
        </w:rPr>
        <w:t>GB/T 51408</w:t>
      </w:r>
      <w:r w:rsidRPr="00DC2CC9">
        <w:rPr>
          <w:rFonts w:ascii="Times New Roman" w:hint="eastAsia"/>
        </w:rPr>
        <w:t xml:space="preserve">  </w:t>
      </w:r>
      <w:r w:rsidRPr="00DC2CC9">
        <w:rPr>
          <w:rFonts w:ascii="Times New Roman" w:hint="eastAsia"/>
        </w:rPr>
        <w:t>建筑隔震设计标准</w:t>
      </w:r>
    </w:p>
    <w:p w14:paraId="4E1850A3" w14:textId="77777777" w:rsidR="00B265BC" w:rsidRPr="00DC2CC9" w:rsidRDefault="00FD59EB" w:rsidP="00FD59EB">
      <w:pPr>
        <w:pStyle w:val="affc"/>
        <w:spacing w:before="312" w:after="312"/>
        <w:rPr>
          <w:rFonts w:ascii="Times New Roman"/>
        </w:rPr>
      </w:pPr>
      <w:bookmarkStart w:id="57" w:name="_Toc97191425"/>
      <w:bookmarkStart w:id="58" w:name="_Toc180225949"/>
      <w:bookmarkStart w:id="59" w:name="_Toc180225963"/>
      <w:bookmarkStart w:id="60" w:name="_Toc180227714"/>
      <w:bookmarkStart w:id="61" w:name="_Toc180651842"/>
      <w:bookmarkStart w:id="62" w:name="_Toc180654607"/>
      <w:r w:rsidRPr="00DC2CC9">
        <w:rPr>
          <w:rFonts w:ascii="Times New Roman" w:hint="eastAsia"/>
          <w:szCs w:val="21"/>
        </w:rPr>
        <w:t>术语和定义</w:t>
      </w:r>
      <w:bookmarkEnd w:id="57"/>
      <w:bookmarkEnd w:id="58"/>
      <w:bookmarkEnd w:id="59"/>
      <w:bookmarkEnd w:id="60"/>
      <w:bookmarkEnd w:id="61"/>
      <w:bookmarkEnd w:id="62"/>
    </w:p>
    <w:bookmarkStart w:id="63" w:name="_Toc26986532" w:displacedByCustomXml="next"/>
    <w:bookmarkEnd w:id="63" w:displacedByCustomXml="next"/>
    <w:sdt>
      <w:sdtPr>
        <w:rPr>
          <w:rFonts w:ascii="Times New Roman"/>
        </w:rPr>
        <w:id w:val="-1909835108"/>
        <w:placeholder>
          <w:docPart w:val="6C35E157794A4054B3C839BBA3CF8BF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15DA57E2" w14:textId="32ACF919" w:rsidR="003C010C" w:rsidRPr="00DC2CC9" w:rsidRDefault="001C167B" w:rsidP="00BA263B">
          <w:pPr>
            <w:pStyle w:val="affffb"/>
            <w:ind w:firstLine="420"/>
            <w:rPr>
              <w:rFonts w:ascii="Times New Roman"/>
            </w:rPr>
          </w:pPr>
          <w:r w:rsidRPr="00DC2CC9">
            <w:rPr>
              <w:rFonts w:ascii="Times New Roman"/>
            </w:rPr>
            <w:t>下列术语和定义适用于本文件。</w:t>
          </w:r>
        </w:p>
      </w:sdtContent>
    </w:sdt>
    <w:p w14:paraId="746A2455" w14:textId="0B93BA84" w:rsidR="004B3E93" w:rsidRPr="00DC2CC9" w:rsidRDefault="004B3E93" w:rsidP="001C167B">
      <w:pPr>
        <w:pStyle w:val="affd"/>
        <w:spacing w:before="156" w:after="156"/>
        <w:rPr>
          <w:rFonts w:ascii="Times New Roman"/>
        </w:rPr>
      </w:pPr>
    </w:p>
    <w:p w14:paraId="40AAFE06" w14:textId="16D3E9BD" w:rsidR="00D35B57" w:rsidRPr="00DC2CC9" w:rsidRDefault="00CE25E0" w:rsidP="007919FB">
      <w:pPr>
        <w:pStyle w:val="affffb"/>
        <w:ind w:firstLine="422"/>
        <w:rPr>
          <w:rFonts w:ascii="Times New Roman"/>
          <w:b/>
          <w:bCs/>
        </w:rPr>
      </w:pPr>
      <w:r w:rsidRPr="00DC2CC9">
        <w:rPr>
          <w:rFonts w:ascii="Times New Roman" w:hint="eastAsia"/>
          <w:b/>
          <w:bCs/>
        </w:rPr>
        <w:t>建筑金属隔震支座</w:t>
      </w:r>
      <w:r w:rsidR="0055227D" w:rsidRPr="00DC2CC9">
        <w:rPr>
          <w:rFonts w:ascii="Times New Roman" w:hint="eastAsia"/>
          <w:b/>
          <w:bCs/>
        </w:rPr>
        <w:t xml:space="preserve">  </w:t>
      </w:r>
      <w:r w:rsidR="00D35B57" w:rsidRPr="00DC2CC9">
        <w:rPr>
          <w:rFonts w:ascii="Times New Roman" w:hint="eastAsia"/>
          <w:b/>
          <w:bCs/>
        </w:rPr>
        <w:t>building metal seismic isolation bearings</w:t>
      </w:r>
    </w:p>
    <w:p w14:paraId="228B987C" w14:textId="255E593A" w:rsidR="007919FB" w:rsidRPr="00DC2CC9" w:rsidRDefault="007919FB" w:rsidP="007919FB">
      <w:pPr>
        <w:pStyle w:val="affffb"/>
        <w:ind w:firstLine="420"/>
        <w:rPr>
          <w:rFonts w:ascii="Times New Roman"/>
        </w:rPr>
      </w:pPr>
      <w:r w:rsidRPr="00DC2CC9">
        <w:rPr>
          <w:rFonts w:ascii="Times New Roman" w:hint="eastAsia"/>
        </w:rPr>
        <w:t>一种利用钟摆原理实现减隔震功能的金属支座</w:t>
      </w:r>
      <w:r w:rsidR="00DF125A" w:rsidRPr="00DC2CC9">
        <w:rPr>
          <w:rFonts w:ascii="Times New Roman" w:hint="eastAsia"/>
        </w:rPr>
        <w:t>。支座通过滑动面摩擦消耗地震能量实现减震功能，</w:t>
      </w:r>
      <w:r w:rsidR="00E364C7" w:rsidRPr="00DC2CC9">
        <w:rPr>
          <w:rFonts w:ascii="Times New Roman" w:hint="eastAsia"/>
        </w:rPr>
        <w:t>通过球面摆动</w:t>
      </w:r>
      <w:r w:rsidR="003B1D53" w:rsidRPr="00DC2CC9">
        <w:rPr>
          <w:rFonts w:ascii="Times New Roman" w:hint="eastAsia"/>
        </w:rPr>
        <w:t>延长</w:t>
      </w:r>
      <w:r w:rsidR="00E364C7" w:rsidRPr="00DC2CC9">
        <w:rPr>
          <w:rFonts w:ascii="Times New Roman" w:hint="eastAsia"/>
        </w:rPr>
        <w:t>建筑物运动周期以实现隔震功能。</w:t>
      </w:r>
    </w:p>
    <w:p w14:paraId="0A6D6666" w14:textId="1703A884" w:rsidR="0055227D" w:rsidRPr="00DC2CC9" w:rsidRDefault="0055227D" w:rsidP="000F6B10">
      <w:pPr>
        <w:pStyle w:val="affd"/>
        <w:spacing w:before="156" w:after="156"/>
        <w:rPr>
          <w:rFonts w:ascii="Times New Roman"/>
        </w:rPr>
      </w:pPr>
    </w:p>
    <w:p w14:paraId="69731DEB" w14:textId="22FD621C" w:rsidR="0055227D" w:rsidRPr="00DC2CC9" w:rsidRDefault="0055227D" w:rsidP="007919FB">
      <w:pPr>
        <w:pStyle w:val="affffb"/>
        <w:ind w:firstLine="422"/>
        <w:rPr>
          <w:rFonts w:ascii="Times New Roman"/>
          <w:b/>
          <w:bCs/>
        </w:rPr>
      </w:pPr>
      <w:r w:rsidRPr="00DC2CC9">
        <w:rPr>
          <w:rFonts w:ascii="Times New Roman" w:hint="eastAsia"/>
          <w:b/>
          <w:bCs/>
        </w:rPr>
        <w:t>滑动摩擦面</w:t>
      </w:r>
      <w:r w:rsidRPr="00DC2CC9">
        <w:rPr>
          <w:rFonts w:ascii="Times New Roman" w:hint="eastAsia"/>
          <w:b/>
          <w:bCs/>
        </w:rPr>
        <w:t xml:space="preserve">  </w:t>
      </w:r>
      <w:r w:rsidR="000F6B10" w:rsidRPr="00DC2CC9">
        <w:rPr>
          <w:rFonts w:ascii="Times New Roman" w:hint="eastAsia"/>
          <w:b/>
          <w:bCs/>
        </w:rPr>
        <w:t>sliding surface</w:t>
      </w:r>
    </w:p>
    <w:p w14:paraId="677E5903" w14:textId="39D81C22" w:rsidR="000F6B10" w:rsidRPr="00DC2CC9" w:rsidRDefault="00861417" w:rsidP="007919FB">
      <w:pPr>
        <w:pStyle w:val="affffb"/>
        <w:ind w:firstLine="420"/>
        <w:rPr>
          <w:rFonts w:ascii="Times New Roman"/>
        </w:rPr>
      </w:pPr>
      <w:r w:rsidRPr="00DC2CC9">
        <w:rPr>
          <w:rFonts w:ascii="Times New Roman" w:hint="eastAsia"/>
        </w:rPr>
        <w:t>具有提供摩擦滑移功能的界面，由摩擦材料和金属摩擦面两部分组成。</w:t>
      </w:r>
    </w:p>
    <w:p w14:paraId="2E41666F" w14:textId="77777777" w:rsidR="00EB47A1" w:rsidRPr="00DC2CC9" w:rsidRDefault="00EB47A1" w:rsidP="00EB47A1">
      <w:pPr>
        <w:pStyle w:val="affc"/>
        <w:spacing w:before="312" w:after="312"/>
        <w:rPr>
          <w:rFonts w:ascii="Times New Roman"/>
        </w:rPr>
      </w:pPr>
      <w:bookmarkStart w:id="64" w:name="_Toc180225950"/>
      <w:bookmarkStart w:id="65" w:name="_Toc180225964"/>
      <w:bookmarkStart w:id="66" w:name="_Toc180227715"/>
      <w:bookmarkStart w:id="67" w:name="_Toc180651843"/>
      <w:bookmarkStart w:id="68" w:name="_Toc180654608"/>
      <w:r w:rsidRPr="00DC2CC9">
        <w:rPr>
          <w:rFonts w:ascii="Times New Roman" w:hint="eastAsia"/>
        </w:rPr>
        <w:t>组成与分类</w:t>
      </w:r>
      <w:bookmarkEnd w:id="64"/>
      <w:bookmarkEnd w:id="65"/>
      <w:bookmarkEnd w:id="66"/>
      <w:bookmarkEnd w:id="67"/>
      <w:bookmarkEnd w:id="68"/>
    </w:p>
    <w:p w14:paraId="1EB8435B" w14:textId="5DD49216" w:rsidR="00EB47A1" w:rsidRPr="00DC2CC9" w:rsidRDefault="00EB47A1" w:rsidP="000A5C5A">
      <w:pPr>
        <w:pStyle w:val="affffb"/>
        <w:ind w:firstLine="420"/>
        <w:rPr>
          <w:rFonts w:ascii="Times New Roman"/>
        </w:rPr>
      </w:pPr>
      <w:r w:rsidRPr="00DC2CC9">
        <w:rPr>
          <w:rFonts w:ascii="Times New Roman" w:hint="eastAsia"/>
        </w:rPr>
        <w:t>建筑金属隔震支座（以下简称支座）由上座板、下座板、球冠体、滑动摩擦体系、锚固装置等部件组成。按照滑动摩擦面的结构形式，可将支座分为两类，</w:t>
      </w:r>
      <w:r w:rsidRPr="00DC2CC9">
        <w:rPr>
          <w:rFonts w:ascii="Times New Roman" w:hint="eastAsia"/>
        </w:rPr>
        <w:t>I</w:t>
      </w:r>
      <w:r w:rsidRPr="00DC2CC9">
        <w:rPr>
          <w:rFonts w:ascii="Times New Roman" w:hint="eastAsia"/>
        </w:rPr>
        <w:t>型为单主滑动面型［如图</w:t>
      </w:r>
      <w:r w:rsidRPr="00DC2CC9">
        <w:rPr>
          <w:rFonts w:ascii="Times New Roman" w:hint="eastAsia"/>
        </w:rPr>
        <w:t>1a</w:t>
      </w:r>
      <w:r w:rsidRPr="00DC2CC9">
        <w:rPr>
          <w:rFonts w:ascii="Times New Roman" w:hint="eastAsia"/>
        </w:rPr>
        <w:t>）和图</w:t>
      </w:r>
      <w:r w:rsidRPr="00DC2CC9">
        <w:rPr>
          <w:rFonts w:ascii="Times New Roman" w:hint="eastAsia"/>
        </w:rPr>
        <w:t>1b</w:t>
      </w:r>
      <w:r w:rsidRPr="00DC2CC9">
        <w:rPr>
          <w:rFonts w:ascii="Times New Roman" w:hint="eastAsia"/>
        </w:rPr>
        <w:t>）所示］；</w:t>
      </w:r>
      <w:r w:rsidRPr="00DC2CC9">
        <w:rPr>
          <w:rFonts w:ascii="Times New Roman" w:hint="eastAsia"/>
        </w:rPr>
        <w:t>II</w:t>
      </w:r>
      <w:r w:rsidRPr="00DC2CC9">
        <w:rPr>
          <w:rFonts w:ascii="Times New Roman" w:hint="eastAsia"/>
        </w:rPr>
        <w:t>型为双主滑动面型［如图</w:t>
      </w:r>
      <w:r w:rsidRPr="00DC2CC9">
        <w:rPr>
          <w:rFonts w:ascii="Times New Roman" w:hint="eastAsia"/>
        </w:rPr>
        <w:t>1c</w:t>
      </w:r>
      <w:r w:rsidRPr="00DC2CC9">
        <w:rPr>
          <w:rFonts w:ascii="Times New Roman" w:hint="eastAsia"/>
        </w:rPr>
        <w:t>）所示］。</w:t>
      </w:r>
    </w:p>
    <w:p w14:paraId="3EB00A73" w14:textId="35350FDC" w:rsidR="00F65FF1" w:rsidRPr="00DC2CC9" w:rsidRDefault="00F65FF1" w:rsidP="00F65FF1">
      <w:pPr>
        <w:pStyle w:val="affffb"/>
        <w:ind w:firstLineChars="0" w:firstLine="0"/>
        <w:jc w:val="center"/>
        <w:rPr>
          <w:rFonts w:ascii="Times New Roman"/>
        </w:rPr>
      </w:pPr>
      <w:r w:rsidRPr="00DC2CC9">
        <w:rPr>
          <w:rFonts w:ascii="Times New Roman"/>
        </w:rPr>
        <w:lastRenderedPageBreak/>
        <w:drawing>
          <wp:inline distT="0" distB="0" distL="0" distR="0" wp14:anchorId="4FAE498E" wp14:editId="3F0B40E9">
            <wp:extent cx="4096767" cy="2822713"/>
            <wp:effectExtent l="0" t="0" r="0" b="0"/>
            <wp:docPr id="19411992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99288" name=""/>
                    <pic:cNvPicPr/>
                  </pic:nvPicPr>
                  <pic:blipFill>
                    <a:blip r:embed="rId18"/>
                    <a:stretch>
                      <a:fillRect/>
                    </a:stretch>
                  </pic:blipFill>
                  <pic:spPr>
                    <a:xfrm>
                      <a:off x="0" y="0"/>
                      <a:ext cx="4124910" cy="2842104"/>
                    </a:xfrm>
                    <a:prstGeom prst="rect">
                      <a:avLst/>
                    </a:prstGeom>
                  </pic:spPr>
                </pic:pic>
              </a:graphicData>
            </a:graphic>
          </wp:inline>
        </w:drawing>
      </w:r>
    </w:p>
    <w:p w14:paraId="74BA169F" w14:textId="77777777" w:rsidR="00EB47A1" w:rsidRPr="00DC2CC9" w:rsidRDefault="00EB47A1" w:rsidP="00EB47A1">
      <w:pPr>
        <w:rPr>
          <w:rFonts w:ascii="Times New Roman" w:hAnsi="Times New Roman"/>
        </w:rPr>
      </w:pPr>
      <w:r w:rsidRPr="00DC2CC9">
        <w:rPr>
          <w:rFonts w:ascii="Times New Roman" w:hAnsi="Times New Roman" w:hint="eastAsia"/>
        </w:rPr>
        <w:t>说明：</w:t>
      </w:r>
    </w:p>
    <w:p w14:paraId="2202BA37" w14:textId="77777777" w:rsidR="00EB47A1" w:rsidRPr="00DC2CC9" w:rsidRDefault="00EB47A1" w:rsidP="00EB47A1">
      <w:pPr>
        <w:rPr>
          <w:rFonts w:ascii="Times New Roman" w:hAnsi="Times New Roman"/>
        </w:rPr>
      </w:pPr>
      <w:r w:rsidRPr="00DC2CC9">
        <w:rPr>
          <w:rFonts w:ascii="Times New Roman" w:hAnsi="Times New Roman" w:hint="eastAsia"/>
        </w:rPr>
        <w:t>1</w:t>
      </w:r>
      <w:r w:rsidRPr="00DC2CC9">
        <w:rPr>
          <w:rFonts w:ascii="Times New Roman" w:hAnsi="Times New Roman" w:hint="eastAsia"/>
        </w:rPr>
        <w:t>——锚固装置；</w:t>
      </w:r>
    </w:p>
    <w:p w14:paraId="5DAE8B8C" w14:textId="77777777" w:rsidR="00EB47A1" w:rsidRPr="00DC2CC9" w:rsidRDefault="00EB47A1" w:rsidP="00EB47A1">
      <w:pPr>
        <w:rPr>
          <w:rFonts w:ascii="Times New Roman" w:hAnsi="Times New Roman"/>
        </w:rPr>
      </w:pPr>
      <w:r w:rsidRPr="00DC2CC9">
        <w:rPr>
          <w:rFonts w:ascii="Times New Roman" w:hAnsi="Times New Roman" w:hint="eastAsia"/>
        </w:rPr>
        <w:t>2</w:t>
      </w:r>
      <w:r w:rsidRPr="00DC2CC9">
        <w:rPr>
          <w:rFonts w:ascii="Times New Roman" w:hAnsi="Times New Roman" w:hint="eastAsia"/>
        </w:rPr>
        <w:t>——上座板；</w:t>
      </w:r>
    </w:p>
    <w:p w14:paraId="0C2C6336" w14:textId="77777777" w:rsidR="00EB47A1" w:rsidRPr="00DC2CC9" w:rsidRDefault="00EB47A1" w:rsidP="00EB47A1">
      <w:pPr>
        <w:rPr>
          <w:rFonts w:ascii="Times New Roman" w:hAnsi="Times New Roman"/>
        </w:rPr>
      </w:pPr>
      <w:r w:rsidRPr="00DC2CC9">
        <w:rPr>
          <w:rFonts w:ascii="Times New Roman" w:hAnsi="Times New Roman" w:hint="eastAsia"/>
        </w:rPr>
        <w:t>3</w:t>
      </w:r>
      <w:r w:rsidRPr="00DC2CC9">
        <w:rPr>
          <w:rFonts w:ascii="Times New Roman" w:hAnsi="Times New Roman" w:hint="eastAsia"/>
        </w:rPr>
        <w:t>——上滑动摩擦面；</w:t>
      </w:r>
    </w:p>
    <w:p w14:paraId="1DE6D0EE" w14:textId="77777777" w:rsidR="00EB47A1" w:rsidRPr="00DC2CC9" w:rsidRDefault="00EB47A1" w:rsidP="00EB47A1">
      <w:pPr>
        <w:rPr>
          <w:rFonts w:ascii="Times New Roman" w:hAnsi="Times New Roman"/>
        </w:rPr>
      </w:pPr>
      <w:r w:rsidRPr="00DC2CC9">
        <w:rPr>
          <w:rFonts w:ascii="Times New Roman" w:hAnsi="Times New Roman" w:hint="eastAsia"/>
        </w:rPr>
        <w:t>4</w:t>
      </w:r>
      <w:r w:rsidRPr="00DC2CC9">
        <w:rPr>
          <w:rFonts w:ascii="Times New Roman" w:hAnsi="Times New Roman" w:hint="eastAsia"/>
        </w:rPr>
        <w:t>——球冠体；</w:t>
      </w:r>
    </w:p>
    <w:p w14:paraId="3AEA0AC9" w14:textId="77777777" w:rsidR="00EB47A1" w:rsidRPr="00DC2CC9" w:rsidRDefault="00EB47A1" w:rsidP="00EB47A1">
      <w:pPr>
        <w:rPr>
          <w:rFonts w:ascii="Times New Roman" w:hAnsi="Times New Roman"/>
        </w:rPr>
      </w:pPr>
      <w:r w:rsidRPr="00DC2CC9">
        <w:rPr>
          <w:rFonts w:ascii="Times New Roman" w:hAnsi="Times New Roman" w:hint="eastAsia"/>
        </w:rPr>
        <w:t>5</w:t>
      </w:r>
      <w:r w:rsidRPr="00DC2CC9">
        <w:rPr>
          <w:rFonts w:ascii="Times New Roman" w:hAnsi="Times New Roman" w:hint="eastAsia"/>
        </w:rPr>
        <w:t>——下滑动摩擦面；</w:t>
      </w:r>
    </w:p>
    <w:p w14:paraId="5A1FCE37" w14:textId="37791C17" w:rsidR="00EB47A1" w:rsidRPr="00DC2CC9" w:rsidRDefault="00EB47A1" w:rsidP="00F6286E">
      <w:pPr>
        <w:rPr>
          <w:rFonts w:ascii="Times New Roman" w:hAnsi="Times New Roman"/>
        </w:rPr>
      </w:pPr>
      <w:r w:rsidRPr="00DC2CC9">
        <w:rPr>
          <w:rFonts w:ascii="Times New Roman" w:hAnsi="Times New Roman" w:hint="eastAsia"/>
        </w:rPr>
        <w:t>6</w:t>
      </w:r>
      <w:r w:rsidRPr="00DC2CC9">
        <w:rPr>
          <w:rFonts w:ascii="Times New Roman" w:hAnsi="Times New Roman" w:hint="eastAsia"/>
        </w:rPr>
        <w:t>——下座板。</w:t>
      </w:r>
    </w:p>
    <w:p w14:paraId="32305C56" w14:textId="3AB1662F" w:rsidR="00C07AE1" w:rsidRPr="00DC2CC9" w:rsidRDefault="00F65FF1" w:rsidP="00C07AE1">
      <w:pPr>
        <w:pStyle w:val="afd"/>
        <w:spacing w:before="156" w:after="156"/>
        <w:rPr>
          <w:rFonts w:ascii="Times New Roman"/>
        </w:rPr>
      </w:pPr>
      <w:r w:rsidRPr="00DC2CC9">
        <w:rPr>
          <w:rFonts w:ascii="Times New Roman" w:hint="eastAsia"/>
        </w:rPr>
        <w:t>支座组成与分类</w:t>
      </w:r>
    </w:p>
    <w:p w14:paraId="49CFFBC7" w14:textId="77777777" w:rsidR="00C07AE1" w:rsidRPr="00DC2CC9" w:rsidRDefault="00C07AE1" w:rsidP="00C07AE1">
      <w:pPr>
        <w:pStyle w:val="affc"/>
        <w:spacing w:before="240" w:after="240"/>
        <w:rPr>
          <w:rFonts w:ascii="Times New Roman"/>
        </w:rPr>
      </w:pPr>
      <w:bookmarkStart w:id="69" w:name="_Toc178367382"/>
      <w:bookmarkStart w:id="70" w:name="_Toc178367492"/>
      <w:bookmarkStart w:id="71" w:name="_Toc180651844"/>
      <w:bookmarkStart w:id="72" w:name="_Toc180654609"/>
      <w:r w:rsidRPr="00DC2CC9">
        <w:rPr>
          <w:rFonts w:ascii="Times New Roman" w:hint="eastAsia"/>
        </w:rPr>
        <w:t>基本规定</w:t>
      </w:r>
      <w:bookmarkEnd w:id="69"/>
      <w:bookmarkEnd w:id="70"/>
      <w:bookmarkEnd w:id="71"/>
      <w:bookmarkEnd w:id="72"/>
    </w:p>
    <w:p w14:paraId="4AFACDA5" w14:textId="77777777" w:rsidR="00C07AE1" w:rsidRPr="00DC2CC9" w:rsidRDefault="00C07AE1" w:rsidP="00C07AE1">
      <w:pPr>
        <w:pStyle w:val="affd"/>
        <w:spacing w:before="156" w:after="156"/>
        <w:rPr>
          <w:rFonts w:ascii="Times New Roman"/>
        </w:rPr>
      </w:pPr>
      <w:bookmarkStart w:id="73" w:name="_Toc178367383"/>
      <w:r w:rsidRPr="00DC2CC9">
        <w:rPr>
          <w:rFonts w:ascii="Times New Roman" w:hint="eastAsia"/>
        </w:rPr>
        <w:t>一般规定</w:t>
      </w:r>
      <w:bookmarkEnd w:id="73"/>
    </w:p>
    <w:p w14:paraId="12B0104E" w14:textId="595C43B7" w:rsidR="00C07AE1" w:rsidRPr="00DC2CC9" w:rsidRDefault="00C07AE1" w:rsidP="00C07AE1">
      <w:pPr>
        <w:pStyle w:val="afffffffff1"/>
        <w:rPr>
          <w:rFonts w:ascii="Times New Roman"/>
        </w:rPr>
      </w:pPr>
      <w:r w:rsidRPr="00DC2CC9">
        <w:rPr>
          <w:rFonts w:ascii="Times New Roman" w:hint="eastAsia"/>
        </w:rPr>
        <w:t>隔震建筑的抗震设防类别应按</w:t>
      </w:r>
      <w:r w:rsidRPr="00DC2CC9">
        <w:rPr>
          <w:rFonts w:ascii="Times New Roman" w:hint="eastAsia"/>
        </w:rPr>
        <w:t>GB 50223</w:t>
      </w:r>
      <w:r w:rsidRPr="00DC2CC9">
        <w:rPr>
          <w:rFonts w:ascii="Times New Roman" w:hint="eastAsia"/>
        </w:rPr>
        <w:t>的有关规定确定。</w:t>
      </w:r>
    </w:p>
    <w:p w14:paraId="076E4041" w14:textId="77777777" w:rsidR="00C07AE1" w:rsidRPr="00DC2CC9" w:rsidRDefault="00C07AE1" w:rsidP="00C07AE1">
      <w:pPr>
        <w:pStyle w:val="afffffffff1"/>
        <w:rPr>
          <w:rFonts w:ascii="Times New Roman"/>
        </w:rPr>
      </w:pPr>
      <w:r w:rsidRPr="00DC2CC9">
        <w:rPr>
          <w:rFonts w:ascii="Times New Roman" w:hint="eastAsia"/>
        </w:rPr>
        <w:t>隔震建筑应根据建筑抗震设防类别、设计地震动参数、场地条件、建筑结构类型和使用要求，确定合理的隔震方案。</w:t>
      </w:r>
    </w:p>
    <w:p w14:paraId="2BA3AEC5" w14:textId="77777777" w:rsidR="00C07AE1" w:rsidRPr="00DC2CC9" w:rsidRDefault="00C07AE1" w:rsidP="00C07AE1">
      <w:pPr>
        <w:pStyle w:val="afffffffff1"/>
        <w:rPr>
          <w:rFonts w:ascii="Times New Roman"/>
        </w:rPr>
      </w:pPr>
      <w:r w:rsidRPr="00DC2CC9">
        <w:rPr>
          <w:rFonts w:ascii="Times New Roman"/>
        </w:rPr>
        <w:t>在设防地震作用下</w:t>
      </w:r>
      <w:r w:rsidRPr="00DC2CC9">
        <w:rPr>
          <w:rFonts w:ascii="Times New Roman" w:hint="eastAsia"/>
        </w:rPr>
        <w:t>，</w:t>
      </w:r>
      <w:r w:rsidRPr="00DC2CC9">
        <w:rPr>
          <w:rFonts w:ascii="Times New Roman"/>
        </w:rPr>
        <w:t>应进行结构以及隔震层的承载力和变形验算</w:t>
      </w:r>
      <w:r w:rsidRPr="00DC2CC9">
        <w:rPr>
          <w:rFonts w:ascii="Times New Roman" w:hint="eastAsia"/>
        </w:rPr>
        <w:t>；</w:t>
      </w:r>
      <w:r w:rsidRPr="00DC2CC9">
        <w:rPr>
          <w:rFonts w:ascii="Times New Roman"/>
        </w:rPr>
        <w:t>在罕遇地震作用下</w:t>
      </w:r>
      <w:r w:rsidRPr="00DC2CC9">
        <w:rPr>
          <w:rFonts w:ascii="Times New Roman" w:hint="eastAsia"/>
        </w:rPr>
        <w:t>，</w:t>
      </w:r>
      <w:r w:rsidRPr="00DC2CC9">
        <w:rPr>
          <w:rFonts w:ascii="Times New Roman"/>
        </w:rPr>
        <w:t>应进行结构以及隔震层的变形验算，并应对隔震层的承载力进行验算</w:t>
      </w:r>
      <w:r w:rsidRPr="00DC2CC9">
        <w:rPr>
          <w:rFonts w:ascii="Times New Roman" w:hint="eastAsia"/>
        </w:rPr>
        <w:t>；</w:t>
      </w:r>
      <w:r w:rsidRPr="00DC2CC9">
        <w:rPr>
          <w:rFonts w:ascii="Times New Roman"/>
        </w:rPr>
        <w:t>在极罕遇地震作用下</w:t>
      </w:r>
      <w:r w:rsidRPr="00DC2CC9">
        <w:rPr>
          <w:rFonts w:ascii="Times New Roman" w:hint="eastAsia"/>
        </w:rPr>
        <w:t>，</w:t>
      </w:r>
      <w:r w:rsidRPr="00DC2CC9">
        <w:rPr>
          <w:rFonts w:ascii="Times New Roman"/>
        </w:rPr>
        <w:t>对特殊设防类建筑应进行结构及隔震层的变形验算。</w:t>
      </w:r>
    </w:p>
    <w:p w14:paraId="41747509" w14:textId="2B6CADDD" w:rsidR="00C07AE1" w:rsidRPr="00DC2CC9" w:rsidRDefault="00C07AE1" w:rsidP="00C07AE1">
      <w:pPr>
        <w:pStyle w:val="afffffffff1"/>
        <w:rPr>
          <w:rFonts w:ascii="Times New Roman"/>
        </w:rPr>
      </w:pPr>
      <w:r w:rsidRPr="00DC2CC9">
        <w:rPr>
          <w:rFonts w:ascii="Times New Roman"/>
        </w:rPr>
        <w:t>隔震层中支座的设计使用年限不应低于建筑结构的设计使用年限。当隔震层中的其他装置的设计使用年限低于建筑结构的设计使用年限时</w:t>
      </w:r>
      <w:r w:rsidRPr="00DC2CC9">
        <w:rPr>
          <w:rFonts w:ascii="Times New Roman" w:hint="eastAsia"/>
        </w:rPr>
        <w:t>，</w:t>
      </w:r>
      <w:r w:rsidRPr="00DC2CC9">
        <w:rPr>
          <w:rFonts w:ascii="Times New Roman"/>
        </w:rPr>
        <w:t>在设计中应注明并预设可更换措施。</w:t>
      </w:r>
    </w:p>
    <w:p w14:paraId="2BBAC053" w14:textId="77777777" w:rsidR="00C07AE1" w:rsidRPr="00DC2CC9" w:rsidRDefault="00C07AE1" w:rsidP="00C07AE1">
      <w:pPr>
        <w:pStyle w:val="affd"/>
        <w:spacing w:before="156" w:after="156"/>
        <w:rPr>
          <w:rFonts w:ascii="Times New Roman"/>
        </w:rPr>
      </w:pPr>
      <w:bookmarkStart w:id="74" w:name="_Toc178367384"/>
      <w:r w:rsidRPr="00DC2CC9">
        <w:rPr>
          <w:rFonts w:ascii="Times New Roman" w:hint="eastAsia"/>
        </w:rPr>
        <w:t>地震作用和结构验算</w:t>
      </w:r>
      <w:bookmarkEnd w:id="74"/>
    </w:p>
    <w:p w14:paraId="3670F2C4" w14:textId="77777777" w:rsidR="00C07AE1" w:rsidRPr="00DC2CC9" w:rsidRDefault="00C07AE1" w:rsidP="00C07AE1">
      <w:pPr>
        <w:pStyle w:val="afffffffff1"/>
        <w:rPr>
          <w:rFonts w:ascii="Times New Roman"/>
        </w:rPr>
      </w:pPr>
      <w:r w:rsidRPr="00DC2CC9">
        <w:rPr>
          <w:rFonts w:ascii="Times New Roman" w:hint="eastAsia"/>
        </w:rPr>
        <w:t>隔震建筑的地震作用应符合下列规定：</w:t>
      </w:r>
    </w:p>
    <w:p w14:paraId="261E0F0A" w14:textId="62D90D20" w:rsidR="00C07AE1" w:rsidRPr="00DC2CC9" w:rsidRDefault="00C07AE1" w:rsidP="00B448E7">
      <w:pPr>
        <w:pStyle w:val="af5"/>
        <w:rPr>
          <w:rFonts w:ascii="Times New Roman"/>
        </w:rPr>
      </w:pPr>
      <w:r w:rsidRPr="00DC2CC9">
        <w:rPr>
          <w:rFonts w:ascii="Times New Roman" w:hint="eastAsia"/>
        </w:rPr>
        <w:t>一般情况下，应至少在建筑结构的两个主轴方向分别计算水平地震作用，各方向的水平地震作用应由该方向抗侧力构件承担；</w:t>
      </w:r>
    </w:p>
    <w:p w14:paraId="6A33B132" w14:textId="1324583F" w:rsidR="00C07AE1" w:rsidRPr="00DC2CC9" w:rsidRDefault="00C07AE1" w:rsidP="00B448E7">
      <w:pPr>
        <w:pStyle w:val="af5"/>
        <w:rPr>
          <w:rFonts w:ascii="Times New Roman"/>
        </w:rPr>
      </w:pPr>
      <w:r w:rsidRPr="00DC2CC9">
        <w:rPr>
          <w:rFonts w:ascii="Times New Roman" w:hint="eastAsia"/>
        </w:rPr>
        <w:lastRenderedPageBreak/>
        <w:t>有斜交抗侧力构件的结构，当相交角度大于</w:t>
      </w:r>
      <w:r w:rsidRPr="00DC2CC9">
        <w:rPr>
          <w:rFonts w:ascii="Times New Roman" w:hint="eastAsia"/>
        </w:rPr>
        <w:t>15</w:t>
      </w:r>
      <w:r w:rsidRPr="00DC2CC9">
        <w:rPr>
          <w:rFonts w:ascii="Times New Roman" w:hint="eastAsia"/>
        </w:rPr>
        <w:t>°时，应分别计算各抗侧力构件方向的水平地震作用；</w:t>
      </w:r>
    </w:p>
    <w:p w14:paraId="5C21BEB4" w14:textId="10747777" w:rsidR="00C07AE1" w:rsidRPr="00DC2CC9" w:rsidRDefault="00C07AE1" w:rsidP="00B448E7">
      <w:pPr>
        <w:pStyle w:val="af5"/>
        <w:rPr>
          <w:rFonts w:ascii="Times New Roman"/>
        </w:rPr>
      </w:pPr>
      <w:r w:rsidRPr="00DC2CC9">
        <w:rPr>
          <w:rFonts w:ascii="Times New Roman" w:hint="eastAsia"/>
        </w:rPr>
        <w:t>隔震结构可采用调整地震作用效应的方法计入扭转影响；质量和刚度分布明显不对称的结构，应计入双向水平地震作用下的扭转影响；</w:t>
      </w:r>
    </w:p>
    <w:p w14:paraId="159DDCAE" w14:textId="434F2E32" w:rsidR="00C07AE1" w:rsidRPr="00DC2CC9" w:rsidRDefault="00C07AE1" w:rsidP="00B448E7">
      <w:pPr>
        <w:pStyle w:val="af5"/>
        <w:rPr>
          <w:rFonts w:ascii="Times New Roman"/>
        </w:rPr>
      </w:pPr>
      <w:r w:rsidRPr="00DC2CC9">
        <w:rPr>
          <w:rFonts w:ascii="Times New Roman" w:hint="eastAsia"/>
        </w:rPr>
        <w:t>抗震设防烈度</w:t>
      </w:r>
      <w:r w:rsidRPr="00DC2CC9">
        <w:rPr>
          <w:rFonts w:ascii="Times New Roman" w:hint="eastAsia"/>
        </w:rPr>
        <w:t>7</w:t>
      </w:r>
      <w:r w:rsidRPr="00DC2CC9">
        <w:rPr>
          <w:rFonts w:ascii="Times New Roman" w:hint="eastAsia"/>
        </w:rPr>
        <w:t>度（</w:t>
      </w:r>
      <w:r w:rsidRPr="00DC2CC9">
        <w:rPr>
          <w:rFonts w:ascii="Times New Roman" w:hint="eastAsia"/>
        </w:rPr>
        <w:t>0.15 g</w:t>
      </w:r>
      <w:r w:rsidRPr="00DC2CC9">
        <w:rPr>
          <w:rFonts w:ascii="Times New Roman" w:hint="eastAsia"/>
        </w:rPr>
        <w:t>）、</w:t>
      </w:r>
      <w:r w:rsidRPr="00DC2CC9">
        <w:rPr>
          <w:rFonts w:ascii="Times New Roman" w:hint="eastAsia"/>
        </w:rPr>
        <w:t>8</w:t>
      </w:r>
      <w:r w:rsidRPr="00DC2CC9">
        <w:rPr>
          <w:rFonts w:ascii="Times New Roman" w:hint="eastAsia"/>
        </w:rPr>
        <w:t>度和</w:t>
      </w:r>
      <w:r w:rsidRPr="00DC2CC9">
        <w:rPr>
          <w:rFonts w:ascii="Times New Roman" w:hint="eastAsia"/>
        </w:rPr>
        <w:t>9</w:t>
      </w:r>
      <w:r w:rsidRPr="00DC2CC9">
        <w:rPr>
          <w:rFonts w:ascii="Times New Roman" w:hint="eastAsia"/>
        </w:rPr>
        <w:t>度时的长悬臂或大跨结构，以及</w:t>
      </w:r>
      <w:r w:rsidRPr="00DC2CC9">
        <w:rPr>
          <w:rFonts w:ascii="Times New Roman" w:hint="eastAsia"/>
        </w:rPr>
        <w:t>9</w:t>
      </w:r>
      <w:r w:rsidRPr="00DC2CC9">
        <w:rPr>
          <w:rFonts w:ascii="Times New Roman" w:hint="eastAsia"/>
        </w:rPr>
        <w:t>度时的高层建筑结构，应计算竖向地震作用。</w:t>
      </w:r>
    </w:p>
    <w:p w14:paraId="6427B828" w14:textId="77777777" w:rsidR="00C07AE1" w:rsidRPr="00DC2CC9" w:rsidRDefault="00C07AE1" w:rsidP="00C07AE1">
      <w:pPr>
        <w:pStyle w:val="afffffffff1"/>
        <w:rPr>
          <w:rFonts w:ascii="Times New Roman"/>
        </w:rPr>
      </w:pPr>
      <w:r w:rsidRPr="00DC2CC9">
        <w:rPr>
          <w:rFonts w:ascii="Times New Roman" w:hint="eastAsia"/>
        </w:rPr>
        <w:t>隔震结构分析模型应符合下列规定：</w:t>
      </w:r>
    </w:p>
    <w:p w14:paraId="62D0B22B" w14:textId="6A4F9C57" w:rsidR="00C07AE1" w:rsidRPr="00DC2CC9" w:rsidRDefault="00C07AE1" w:rsidP="001B27D1">
      <w:pPr>
        <w:pStyle w:val="af5"/>
        <w:numPr>
          <w:ilvl w:val="0"/>
          <w:numId w:val="39"/>
        </w:numPr>
        <w:rPr>
          <w:rFonts w:ascii="Times New Roman"/>
        </w:rPr>
      </w:pPr>
      <w:r w:rsidRPr="00DC2CC9">
        <w:rPr>
          <w:rFonts w:ascii="Times New Roman" w:hint="eastAsia"/>
        </w:rPr>
        <w:t>所选取的分析模型应能合理反映结构中构件的实际受力状况；</w:t>
      </w:r>
    </w:p>
    <w:p w14:paraId="7B4FFB14" w14:textId="31C33345" w:rsidR="00C07AE1" w:rsidRPr="00DC2CC9" w:rsidRDefault="00C07AE1" w:rsidP="001B27D1">
      <w:pPr>
        <w:pStyle w:val="af5"/>
        <w:rPr>
          <w:rFonts w:ascii="Times New Roman"/>
        </w:rPr>
      </w:pPr>
      <w:r w:rsidRPr="00DC2CC9">
        <w:rPr>
          <w:rFonts w:ascii="Times New Roman" w:hint="eastAsia"/>
        </w:rPr>
        <w:t>上部结构和下部结构可选多质点系、空间杆系、空间杆—墙板元或壳元、连续体及其他组合有限元等计算模型；</w:t>
      </w:r>
    </w:p>
    <w:p w14:paraId="466017D7" w14:textId="3480D5D5" w:rsidR="00C07AE1" w:rsidRPr="00DC2CC9" w:rsidRDefault="00C07AE1" w:rsidP="001B27D1">
      <w:pPr>
        <w:pStyle w:val="af5"/>
        <w:rPr>
          <w:rFonts w:ascii="Times New Roman"/>
        </w:rPr>
      </w:pPr>
      <w:r w:rsidRPr="00DC2CC9">
        <w:rPr>
          <w:rFonts w:ascii="Times New Roman" w:hint="eastAsia"/>
        </w:rPr>
        <w:t>隔震层的隔震支座和阻尼器应选择能正确反映其特性的计算模型。</w:t>
      </w:r>
    </w:p>
    <w:p w14:paraId="6F7F6A65" w14:textId="77777777" w:rsidR="00C07AE1" w:rsidRPr="00DC2CC9" w:rsidRDefault="00C07AE1" w:rsidP="00C07AE1">
      <w:pPr>
        <w:pStyle w:val="afffffffff1"/>
        <w:rPr>
          <w:rFonts w:ascii="Times New Roman"/>
        </w:rPr>
      </w:pPr>
      <w:r w:rsidRPr="00DC2CC9">
        <w:rPr>
          <w:rFonts w:ascii="Times New Roman" w:hint="eastAsia"/>
        </w:rPr>
        <w:t>隔震结构的地震作用计算宜采用下列方法：</w:t>
      </w:r>
    </w:p>
    <w:p w14:paraId="062195FD" w14:textId="355204F3" w:rsidR="00C07AE1" w:rsidRPr="00DC2CC9" w:rsidRDefault="00C07AE1" w:rsidP="001B27D1">
      <w:pPr>
        <w:pStyle w:val="af5"/>
        <w:numPr>
          <w:ilvl w:val="0"/>
          <w:numId w:val="40"/>
        </w:numPr>
        <w:rPr>
          <w:rFonts w:ascii="Times New Roman"/>
        </w:rPr>
      </w:pPr>
      <w:r w:rsidRPr="00DC2CC9">
        <w:rPr>
          <w:rFonts w:ascii="Times New Roman" w:hint="eastAsia"/>
        </w:rPr>
        <w:t>底部剪力法：高度不超过</w:t>
      </w:r>
      <w:r w:rsidRPr="00DC2CC9">
        <w:rPr>
          <w:rFonts w:ascii="Times New Roman" w:hint="eastAsia"/>
        </w:rPr>
        <w:t>24 m</w:t>
      </w:r>
      <w:r w:rsidRPr="00DC2CC9">
        <w:rPr>
          <w:rFonts w:ascii="Times New Roman" w:hint="eastAsia"/>
        </w:rPr>
        <w:t>、上部结构以剪切变形为主、质量和刚度沿高度分布比较均匀且隔震支座类型单一的隔震建筑，可采用底部剪力法；</w:t>
      </w:r>
    </w:p>
    <w:p w14:paraId="5183B099" w14:textId="64A26A13" w:rsidR="00C07AE1" w:rsidRPr="00DC2CC9" w:rsidRDefault="00C07AE1" w:rsidP="001B27D1">
      <w:pPr>
        <w:pStyle w:val="af5"/>
        <w:rPr>
          <w:rFonts w:ascii="Times New Roman"/>
        </w:rPr>
      </w:pPr>
      <w:r w:rsidRPr="00DC2CC9">
        <w:rPr>
          <w:rFonts w:ascii="Times New Roman" w:hint="eastAsia"/>
        </w:rPr>
        <w:t>振型分解反应谱法：除本条第</w:t>
      </w:r>
      <w:r w:rsidRPr="00DC2CC9">
        <w:rPr>
          <w:rFonts w:ascii="Times New Roman" w:hint="eastAsia"/>
        </w:rPr>
        <w:t>a</w:t>
      </w:r>
      <w:r w:rsidRPr="00DC2CC9">
        <w:rPr>
          <w:rFonts w:ascii="Times New Roman" w:hint="eastAsia"/>
        </w:rPr>
        <w:t>）款之外的隔震结构，宜采用振型分解反应谱法；</w:t>
      </w:r>
    </w:p>
    <w:p w14:paraId="441AC56F" w14:textId="4544B4CF" w:rsidR="00C07AE1" w:rsidRPr="00DC2CC9" w:rsidRDefault="00C07AE1" w:rsidP="001B27D1">
      <w:pPr>
        <w:pStyle w:val="af5"/>
        <w:rPr>
          <w:rFonts w:ascii="Times New Roman"/>
        </w:rPr>
      </w:pPr>
      <w:r w:rsidRPr="00DC2CC9">
        <w:rPr>
          <w:rFonts w:ascii="Times New Roman" w:hint="eastAsia"/>
        </w:rPr>
        <w:t>时程分析法：对于高度大于</w:t>
      </w:r>
      <w:r w:rsidRPr="00DC2CC9">
        <w:rPr>
          <w:rFonts w:ascii="Times New Roman" w:hint="eastAsia"/>
        </w:rPr>
        <w:t>60</w:t>
      </w:r>
      <w:r w:rsidRPr="00DC2CC9">
        <w:rPr>
          <w:rFonts w:ascii="Times New Roman" w:hint="eastAsia"/>
        </w:rPr>
        <w:t>米的隔震建筑，不规则的隔震建筑，隔震层由隔震支座、阻尼装置及其他装置组合复杂的隔震建筑，特殊设防类隔震建筑，应采用时程分析法进行补充计算；每条地震加速度时程曲线计算所得结构底部剪力不应小于振型分解反应谱法计算结果的</w:t>
      </w:r>
      <w:r w:rsidRPr="00DC2CC9">
        <w:rPr>
          <w:rFonts w:ascii="Times New Roman" w:hint="eastAsia"/>
        </w:rPr>
        <w:t>65%</w:t>
      </w:r>
      <w:r w:rsidRPr="00DC2CC9">
        <w:rPr>
          <w:rFonts w:ascii="Times New Roman" w:hint="eastAsia"/>
        </w:rPr>
        <w:t>，多条时程曲线计算所得结构底部剪力的平均值不应小于振型分解反应谱法计算结果的</w:t>
      </w:r>
      <w:r w:rsidRPr="00DC2CC9">
        <w:rPr>
          <w:rFonts w:ascii="Times New Roman" w:hint="eastAsia"/>
        </w:rPr>
        <w:t>80%</w:t>
      </w:r>
      <w:r w:rsidRPr="00DC2CC9">
        <w:rPr>
          <w:rFonts w:ascii="Times New Roman" w:hint="eastAsia"/>
        </w:rPr>
        <w:t>。</w:t>
      </w:r>
    </w:p>
    <w:p w14:paraId="521503B9" w14:textId="77777777" w:rsidR="00C07AE1" w:rsidRPr="00DC2CC9" w:rsidRDefault="00C07AE1" w:rsidP="00C07AE1">
      <w:pPr>
        <w:pStyle w:val="afffffffff1"/>
        <w:rPr>
          <w:rFonts w:ascii="Times New Roman"/>
        </w:rPr>
      </w:pPr>
      <w:r w:rsidRPr="00DC2CC9">
        <w:rPr>
          <w:rFonts w:ascii="Times New Roman" w:hint="eastAsia"/>
        </w:rPr>
        <w:t>当隔震结构处于发震断层</w:t>
      </w:r>
      <w:r w:rsidRPr="00DC2CC9">
        <w:rPr>
          <w:rFonts w:ascii="Times New Roman" w:hint="eastAsia"/>
        </w:rPr>
        <w:t>10 km</w:t>
      </w:r>
      <w:r w:rsidRPr="00DC2CC9">
        <w:rPr>
          <w:rFonts w:ascii="Times New Roman" w:hint="eastAsia"/>
        </w:rPr>
        <w:t>以内时，其水平地震作用计算应考虑近场影响，乘以增大系数，</w:t>
      </w:r>
      <w:r w:rsidRPr="00DC2CC9">
        <w:rPr>
          <w:rFonts w:ascii="Times New Roman" w:hint="eastAsia"/>
        </w:rPr>
        <w:t>5 km</w:t>
      </w:r>
      <w:r w:rsidRPr="00DC2CC9">
        <w:rPr>
          <w:rFonts w:ascii="Times New Roman" w:hint="eastAsia"/>
        </w:rPr>
        <w:t>及以内宜取</w:t>
      </w:r>
      <w:r w:rsidRPr="00DC2CC9">
        <w:rPr>
          <w:rFonts w:ascii="Times New Roman" w:hint="eastAsia"/>
        </w:rPr>
        <w:t>1.25</w:t>
      </w:r>
      <w:r w:rsidRPr="00DC2CC9">
        <w:rPr>
          <w:rFonts w:ascii="Times New Roman" w:hint="eastAsia"/>
        </w:rPr>
        <w:t>，</w:t>
      </w:r>
      <w:r w:rsidRPr="00DC2CC9">
        <w:rPr>
          <w:rFonts w:ascii="Times New Roman" w:hint="eastAsia"/>
        </w:rPr>
        <w:t>5 km</w:t>
      </w:r>
      <w:r w:rsidRPr="00DC2CC9">
        <w:rPr>
          <w:rFonts w:ascii="Times New Roman" w:hint="eastAsia"/>
        </w:rPr>
        <w:t>以外可取不小于</w:t>
      </w:r>
      <w:r w:rsidRPr="00DC2CC9">
        <w:rPr>
          <w:rFonts w:ascii="Times New Roman" w:hint="eastAsia"/>
        </w:rPr>
        <w:t>1.15</w:t>
      </w:r>
      <w:r w:rsidRPr="00DC2CC9">
        <w:rPr>
          <w:rFonts w:ascii="Times New Roman" w:hint="eastAsia"/>
        </w:rPr>
        <w:t>。</w:t>
      </w:r>
    </w:p>
    <w:p w14:paraId="0B3CA63A" w14:textId="77777777" w:rsidR="00C07AE1" w:rsidRPr="00DC2CC9" w:rsidRDefault="00C07AE1" w:rsidP="00C07AE1">
      <w:pPr>
        <w:pStyle w:val="afffffffff1"/>
        <w:rPr>
          <w:rFonts w:ascii="Times New Roman"/>
        </w:rPr>
      </w:pPr>
      <w:r w:rsidRPr="00DC2CC9">
        <w:rPr>
          <w:rFonts w:ascii="Times New Roman" w:hint="eastAsia"/>
        </w:rPr>
        <w:t>设计反应谱和地震动输入</w:t>
      </w:r>
    </w:p>
    <w:p w14:paraId="30C1C6A1" w14:textId="1CDAB26C" w:rsidR="00C07AE1" w:rsidRPr="00DC2CC9" w:rsidRDefault="00C07AE1" w:rsidP="00C07AE1">
      <w:pPr>
        <w:pStyle w:val="afffffffff0"/>
        <w:rPr>
          <w:rFonts w:ascii="Times New Roman"/>
        </w:rPr>
      </w:pPr>
      <w:r w:rsidRPr="00DC2CC9">
        <w:rPr>
          <w:rFonts w:ascii="Times New Roman" w:hint="eastAsia"/>
        </w:rPr>
        <w:t>当隔震结构的阻尼比为</w:t>
      </w:r>
      <w:r w:rsidRPr="00DC2CC9">
        <w:rPr>
          <w:rFonts w:ascii="Times New Roman" w:hint="eastAsia"/>
        </w:rPr>
        <w:t>0.05</w:t>
      </w:r>
      <w:r w:rsidRPr="00DC2CC9">
        <w:rPr>
          <w:rFonts w:ascii="Times New Roman" w:hint="eastAsia"/>
        </w:rPr>
        <w:t>时，地震影响系数应根据烈度、场地类别、特征周期和隔震结构自振周期按图</w:t>
      </w:r>
      <w:r w:rsidR="008714D7" w:rsidRPr="00DC2CC9">
        <w:rPr>
          <w:rFonts w:ascii="Times New Roman" w:hint="eastAsia"/>
        </w:rPr>
        <w:t>2</w:t>
      </w:r>
      <w:r w:rsidRPr="00DC2CC9">
        <w:rPr>
          <w:rFonts w:ascii="Times New Roman" w:hint="eastAsia"/>
        </w:rPr>
        <w:t>地震影响系数曲线确定，其水平地震影响系数最大值α</w:t>
      </w:r>
      <w:r w:rsidRPr="00DC2CC9">
        <w:rPr>
          <w:rFonts w:ascii="Times New Roman" w:hint="eastAsia"/>
          <w:vertAlign w:val="subscript"/>
        </w:rPr>
        <w:t>max</w:t>
      </w:r>
      <w:r w:rsidRPr="00DC2CC9">
        <w:rPr>
          <w:rFonts w:ascii="Times New Roman" w:hint="eastAsia"/>
        </w:rPr>
        <w:t>应按表</w:t>
      </w:r>
      <w:r w:rsidRPr="00DC2CC9">
        <w:rPr>
          <w:rFonts w:ascii="Times New Roman" w:hint="eastAsia"/>
        </w:rPr>
        <w:t>1</w:t>
      </w:r>
      <w:r w:rsidRPr="00DC2CC9">
        <w:rPr>
          <w:rFonts w:ascii="Times New Roman" w:hint="eastAsia"/>
        </w:rPr>
        <w:t>采用。</w:t>
      </w:r>
    </w:p>
    <w:p w14:paraId="14EDD3E0" w14:textId="77777777" w:rsidR="00C07AE1" w:rsidRPr="00DC2CC9" w:rsidRDefault="00C07AE1" w:rsidP="00C07AE1">
      <w:pPr>
        <w:pStyle w:val="afffffffff1"/>
        <w:numPr>
          <w:ilvl w:val="0"/>
          <w:numId w:val="0"/>
        </w:numPr>
        <w:jc w:val="center"/>
        <w:rPr>
          <w:rFonts w:ascii="Times New Roman"/>
        </w:rPr>
      </w:pPr>
      <w:r w:rsidRPr="00DC2CC9">
        <w:rPr>
          <w:rFonts w:ascii="Times New Roman"/>
          <w:noProof/>
        </w:rPr>
        <w:drawing>
          <wp:inline distT="0" distB="0" distL="114300" distR="114300" wp14:anchorId="5A9D3DB2" wp14:editId="3A15ED7F">
            <wp:extent cx="3767733" cy="2256182"/>
            <wp:effectExtent l="0" t="0" r="4445" b="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a:picLocks noChangeAspect="1"/>
                    </pic:cNvPicPr>
                  </pic:nvPicPr>
                  <pic:blipFill>
                    <a:blip r:embed="rId19"/>
                    <a:stretch>
                      <a:fillRect/>
                    </a:stretch>
                  </pic:blipFill>
                  <pic:spPr>
                    <a:xfrm>
                      <a:off x="0" y="0"/>
                      <a:ext cx="3830276" cy="2293634"/>
                    </a:xfrm>
                    <a:prstGeom prst="rect">
                      <a:avLst/>
                    </a:prstGeom>
                    <a:noFill/>
                    <a:ln>
                      <a:noFill/>
                    </a:ln>
                  </pic:spPr>
                </pic:pic>
              </a:graphicData>
            </a:graphic>
          </wp:inline>
        </w:drawing>
      </w:r>
    </w:p>
    <w:p w14:paraId="02E5F37F" w14:textId="77777777" w:rsidR="00C07AE1" w:rsidRPr="00DC2CC9" w:rsidRDefault="00C07AE1" w:rsidP="00C07AE1">
      <w:pPr>
        <w:pStyle w:val="afd"/>
        <w:spacing w:before="156" w:after="156"/>
        <w:rPr>
          <w:rFonts w:ascii="Times New Roman"/>
        </w:rPr>
      </w:pPr>
      <w:r w:rsidRPr="00DC2CC9">
        <w:rPr>
          <w:rFonts w:ascii="Times New Roman" w:hint="eastAsia"/>
        </w:rPr>
        <w:t>地震影响系数曲线</w:t>
      </w:r>
    </w:p>
    <w:p w14:paraId="4ABB0EAD" w14:textId="77777777" w:rsidR="00C07AE1" w:rsidRPr="00DC2CC9" w:rsidRDefault="00C07AE1" w:rsidP="00C07AE1">
      <w:pPr>
        <w:pStyle w:val="afff2"/>
        <w:ind w:left="374"/>
        <w:rPr>
          <w:rFonts w:ascii="Times New Roman"/>
        </w:rPr>
      </w:pPr>
      <w:r w:rsidRPr="00DC2CC9">
        <w:rPr>
          <w:rFonts w:ascii="Times New Roman" w:hint="eastAsia"/>
        </w:rPr>
        <w:t>α—地震影响系数；α</w:t>
      </w:r>
      <w:r w:rsidRPr="00DC2CC9">
        <w:rPr>
          <w:rFonts w:ascii="Times New Roman" w:hint="eastAsia"/>
          <w:vertAlign w:val="subscript"/>
        </w:rPr>
        <w:t>max</w:t>
      </w:r>
      <w:r w:rsidRPr="00DC2CC9">
        <w:rPr>
          <w:rFonts w:ascii="Times New Roman" w:hint="eastAsia"/>
        </w:rPr>
        <w:t>—地震影响系数最大值；γ—曲线下降段的衰减指数；</w:t>
      </w:r>
      <w:r w:rsidRPr="00DC2CC9">
        <w:rPr>
          <w:rFonts w:ascii="Times New Roman" w:hint="eastAsia"/>
        </w:rPr>
        <w:t>T</w:t>
      </w:r>
      <w:r w:rsidRPr="00DC2CC9">
        <w:rPr>
          <w:rFonts w:ascii="Times New Roman" w:hint="eastAsia"/>
          <w:vertAlign w:val="subscript"/>
        </w:rPr>
        <w:t>g</w:t>
      </w:r>
      <w:r w:rsidRPr="00DC2CC9">
        <w:rPr>
          <w:rFonts w:ascii="Times New Roman" w:hint="eastAsia"/>
        </w:rPr>
        <w:t>—特征周期；η—阻尼调整系数；</w:t>
      </w:r>
      <w:r w:rsidRPr="00DC2CC9">
        <w:rPr>
          <w:rFonts w:ascii="Times New Roman" w:hint="eastAsia"/>
        </w:rPr>
        <w:t>T</w:t>
      </w:r>
      <w:r w:rsidRPr="00DC2CC9">
        <w:rPr>
          <w:rFonts w:ascii="Times New Roman" w:hint="eastAsia"/>
        </w:rPr>
        <w:t>—隔震结构自振周期</w:t>
      </w:r>
    </w:p>
    <w:p w14:paraId="052EDDE4" w14:textId="735DCE4B" w:rsidR="00C07AE1" w:rsidRPr="00DC2CC9" w:rsidRDefault="00C07AE1" w:rsidP="00C07AE1">
      <w:pPr>
        <w:ind w:firstLineChars="200" w:firstLine="420"/>
        <w:rPr>
          <w:rFonts w:ascii="Times New Roman" w:hAnsi="Times New Roman"/>
        </w:rPr>
      </w:pPr>
      <w:r w:rsidRPr="00DC2CC9">
        <w:rPr>
          <w:rFonts w:ascii="Times New Roman" w:hAnsi="Times New Roman" w:hint="eastAsia"/>
        </w:rPr>
        <w:t>场地</w:t>
      </w:r>
      <w:r w:rsidRPr="00DC2CC9">
        <w:rPr>
          <w:rFonts w:ascii="Times New Roman" w:hAnsi="Times New Roman"/>
        </w:rPr>
        <w:t>特征周期应按</w:t>
      </w:r>
      <w:r w:rsidRPr="00DC2CC9">
        <w:rPr>
          <w:rFonts w:ascii="Times New Roman" w:hAnsi="Times New Roman"/>
        </w:rPr>
        <w:t>GB</w:t>
      </w:r>
      <w:r w:rsidRPr="00DC2CC9">
        <w:rPr>
          <w:rFonts w:ascii="Times New Roman" w:hAnsi="Times New Roman" w:hint="eastAsia"/>
        </w:rPr>
        <w:t xml:space="preserve"> </w:t>
      </w:r>
      <w:r w:rsidRPr="00DC2CC9">
        <w:rPr>
          <w:rFonts w:ascii="Times New Roman" w:hAnsi="Times New Roman"/>
        </w:rPr>
        <w:t>50011</w:t>
      </w:r>
      <w:r w:rsidRPr="00DC2CC9">
        <w:rPr>
          <w:rFonts w:ascii="Times New Roman" w:hAnsi="Times New Roman"/>
        </w:rPr>
        <w:t>的有关规定执行</w:t>
      </w:r>
      <w:r w:rsidRPr="00DC2CC9">
        <w:rPr>
          <w:rFonts w:ascii="Times New Roman" w:hAnsi="Times New Roman" w:hint="eastAsia"/>
        </w:rPr>
        <w:t>，</w:t>
      </w:r>
      <w:r w:rsidRPr="00DC2CC9">
        <w:rPr>
          <w:rFonts w:ascii="Times New Roman" w:hAnsi="Times New Roman"/>
        </w:rPr>
        <w:t>计算罕遇地震和极罕遇地震作用时</w:t>
      </w:r>
      <w:r w:rsidRPr="00DC2CC9">
        <w:rPr>
          <w:rFonts w:ascii="Times New Roman" w:hAnsi="Times New Roman" w:hint="eastAsia"/>
        </w:rPr>
        <w:t>，</w:t>
      </w:r>
      <w:r w:rsidRPr="00DC2CC9">
        <w:rPr>
          <w:rFonts w:ascii="Times New Roman" w:hAnsi="Times New Roman"/>
        </w:rPr>
        <w:t>场地特征周期应分别增加</w:t>
      </w:r>
      <w:r w:rsidRPr="00DC2CC9">
        <w:rPr>
          <w:rFonts w:ascii="Times New Roman" w:hAnsi="Times New Roman"/>
        </w:rPr>
        <w:t>0.05</w:t>
      </w:r>
      <w:r w:rsidRPr="00DC2CC9">
        <w:rPr>
          <w:rFonts w:ascii="Times New Roman" w:hAnsi="Times New Roman" w:hint="eastAsia"/>
        </w:rPr>
        <w:t xml:space="preserve"> </w:t>
      </w:r>
      <w:r w:rsidRPr="00DC2CC9">
        <w:rPr>
          <w:rFonts w:ascii="Times New Roman" w:hAnsi="Times New Roman"/>
        </w:rPr>
        <w:t>s</w:t>
      </w:r>
      <w:r w:rsidRPr="00DC2CC9">
        <w:rPr>
          <w:rFonts w:ascii="Times New Roman" w:hAnsi="Times New Roman"/>
        </w:rPr>
        <w:t>和</w:t>
      </w:r>
      <w:r w:rsidRPr="00DC2CC9">
        <w:rPr>
          <w:rFonts w:ascii="Times New Roman" w:hAnsi="Times New Roman"/>
        </w:rPr>
        <w:t>0.10</w:t>
      </w:r>
      <w:r w:rsidRPr="00DC2CC9">
        <w:rPr>
          <w:rFonts w:ascii="Times New Roman" w:hAnsi="Times New Roman" w:hint="eastAsia"/>
        </w:rPr>
        <w:t xml:space="preserve"> </w:t>
      </w:r>
      <w:r w:rsidRPr="00DC2CC9">
        <w:rPr>
          <w:rFonts w:ascii="Times New Roman" w:hAnsi="Times New Roman"/>
        </w:rPr>
        <w:t>s</w:t>
      </w:r>
      <w:r w:rsidRPr="00DC2CC9">
        <w:rPr>
          <w:rFonts w:ascii="Times New Roman" w:hAnsi="Times New Roman"/>
        </w:rPr>
        <w:t>。</w:t>
      </w:r>
    </w:p>
    <w:p w14:paraId="7203328A" w14:textId="77777777" w:rsidR="00C07AE1" w:rsidRPr="00DC2CC9" w:rsidRDefault="00C07AE1" w:rsidP="00C07AE1">
      <w:pPr>
        <w:pStyle w:val="aff2"/>
        <w:spacing w:before="156" w:after="156"/>
        <w:rPr>
          <w:rFonts w:ascii="Times New Roman"/>
        </w:rPr>
      </w:pPr>
      <w:r w:rsidRPr="00DC2CC9">
        <w:rPr>
          <w:rFonts w:ascii="Times New Roman" w:hint="eastAsia"/>
        </w:rPr>
        <w:lastRenderedPageBreak/>
        <w:t>水平地震影响系数最大值α</w:t>
      </w:r>
      <w:r w:rsidRPr="00DC2CC9">
        <w:rPr>
          <w:rFonts w:ascii="Times New Roman" w:hint="eastAsia"/>
          <w:vertAlign w:val="subscript"/>
        </w:rPr>
        <w:t>max</w:t>
      </w:r>
    </w:p>
    <w:tbl>
      <w:tblPr>
        <w:tblStyle w:val="afffffffffc"/>
        <w:tblW w:w="0" w:type="auto"/>
        <w:jc w:val="center"/>
        <w:tblLook w:val="04A0" w:firstRow="1" w:lastRow="0" w:firstColumn="1" w:lastColumn="0" w:noHBand="0" w:noVBand="1"/>
      </w:tblPr>
      <w:tblGrid>
        <w:gridCol w:w="1704"/>
        <w:gridCol w:w="1704"/>
        <w:gridCol w:w="1704"/>
        <w:gridCol w:w="1705"/>
        <w:gridCol w:w="1705"/>
      </w:tblGrid>
      <w:tr w:rsidR="00C07AE1" w:rsidRPr="00DC2CC9" w14:paraId="130C3D3D" w14:textId="77777777" w:rsidTr="000B1BFB">
        <w:trPr>
          <w:jc w:val="center"/>
        </w:trPr>
        <w:tc>
          <w:tcPr>
            <w:tcW w:w="1704" w:type="dxa"/>
            <w:vAlign w:val="center"/>
          </w:tcPr>
          <w:p w14:paraId="7FB6D99B" w14:textId="77777777" w:rsidR="00C07AE1" w:rsidRPr="00DC2CC9" w:rsidRDefault="00C07AE1" w:rsidP="000B1BFB">
            <w:pPr>
              <w:jc w:val="center"/>
              <w:rPr>
                <w:rFonts w:ascii="Times New Roman" w:hAnsi="Times New Roman"/>
              </w:rPr>
            </w:pPr>
            <w:r w:rsidRPr="00DC2CC9">
              <w:rPr>
                <w:rFonts w:ascii="Times New Roman" w:hAnsi="Times New Roman" w:hint="eastAsia"/>
              </w:rPr>
              <w:t>抗震设防烈度</w:t>
            </w:r>
          </w:p>
        </w:tc>
        <w:tc>
          <w:tcPr>
            <w:tcW w:w="1704" w:type="dxa"/>
            <w:vAlign w:val="center"/>
          </w:tcPr>
          <w:p w14:paraId="24C70AB8" w14:textId="77777777" w:rsidR="00C07AE1" w:rsidRPr="00DC2CC9" w:rsidRDefault="00C07AE1" w:rsidP="000B1BFB">
            <w:pPr>
              <w:jc w:val="center"/>
              <w:rPr>
                <w:rFonts w:ascii="Times New Roman" w:hAnsi="Times New Roman"/>
              </w:rPr>
            </w:pPr>
            <w:r w:rsidRPr="00DC2CC9">
              <w:rPr>
                <w:rFonts w:ascii="Times New Roman" w:hAnsi="Times New Roman" w:hint="eastAsia"/>
              </w:rPr>
              <w:t>6</w:t>
            </w:r>
            <w:r w:rsidRPr="00DC2CC9">
              <w:rPr>
                <w:rFonts w:ascii="Times New Roman" w:hAnsi="Times New Roman" w:hint="eastAsia"/>
              </w:rPr>
              <w:t>度</w:t>
            </w:r>
          </w:p>
        </w:tc>
        <w:tc>
          <w:tcPr>
            <w:tcW w:w="1704" w:type="dxa"/>
            <w:vAlign w:val="center"/>
          </w:tcPr>
          <w:p w14:paraId="02F2EE9E" w14:textId="77777777" w:rsidR="00C07AE1" w:rsidRPr="00DC2CC9" w:rsidRDefault="00C07AE1" w:rsidP="000B1BFB">
            <w:pPr>
              <w:jc w:val="center"/>
              <w:rPr>
                <w:rFonts w:ascii="Times New Roman" w:hAnsi="Times New Roman"/>
              </w:rPr>
            </w:pPr>
            <w:r w:rsidRPr="00DC2CC9">
              <w:rPr>
                <w:rFonts w:ascii="Times New Roman" w:hAnsi="Times New Roman" w:hint="eastAsia"/>
              </w:rPr>
              <w:t>7</w:t>
            </w:r>
            <w:r w:rsidRPr="00DC2CC9">
              <w:rPr>
                <w:rFonts w:ascii="Times New Roman" w:hAnsi="Times New Roman" w:hint="eastAsia"/>
              </w:rPr>
              <w:t>度</w:t>
            </w:r>
          </w:p>
        </w:tc>
        <w:tc>
          <w:tcPr>
            <w:tcW w:w="1705" w:type="dxa"/>
            <w:vAlign w:val="center"/>
          </w:tcPr>
          <w:p w14:paraId="3CB8D899" w14:textId="77777777" w:rsidR="00C07AE1" w:rsidRPr="00DC2CC9" w:rsidRDefault="00C07AE1" w:rsidP="000B1BFB">
            <w:pPr>
              <w:jc w:val="center"/>
              <w:rPr>
                <w:rFonts w:ascii="Times New Roman" w:hAnsi="Times New Roman"/>
              </w:rPr>
            </w:pPr>
            <w:r w:rsidRPr="00DC2CC9">
              <w:rPr>
                <w:rFonts w:ascii="Times New Roman" w:hAnsi="Times New Roman" w:hint="eastAsia"/>
              </w:rPr>
              <w:t>8</w:t>
            </w:r>
            <w:r w:rsidRPr="00DC2CC9">
              <w:rPr>
                <w:rFonts w:ascii="Times New Roman" w:hAnsi="Times New Roman" w:hint="eastAsia"/>
              </w:rPr>
              <w:t>度</w:t>
            </w:r>
          </w:p>
        </w:tc>
        <w:tc>
          <w:tcPr>
            <w:tcW w:w="1705" w:type="dxa"/>
            <w:vAlign w:val="center"/>
          </w:tcPr>
          <w:p w14:paraId="1A5A3E14" w14:textId="77777777" w:rsidR="00C07AE1" w:rsidRPr="00DC2CC9" w:rsidRDefault="00C07AE1" w:rsidP="000B1BFB">
            <w:pPr>
              <w:jc w:val="center"/>
              <w:rPr>
                <w:rFonts w:ascii="Times New Roman" w:hAnsi="Times New Roman"/>
              </w:rPr>
            </w:pPr>
            <w:r w:rsidRPr="00DC2CC9">
              <w:rPr>
                <w:rFonts w:ascii="Times New Roman" w:hAnsi="Times New Roman" w:hint="eastAsia"/>
              </w:rPr>
              <w:t>9</w:t>
            </w:r>
            <w:r w:rsidRPr="00DC2CC9">
              <w:rPr>
                <w:rFonts w:ascii="Times New Roman" w:hAnsi="Times New Roman" w:hint="eastAsia"/>
              </w:rPr>
              <w:t>度</w:t>
            </w:r>
          </w:p>
        </w:tc>
      </w:tr>
      <w:tr w:rsidR="00C07AE1" w:rsidRPr="00DC2CC9" w14:paraId="31B1FC38" w14:textId="77777777" w:rsidTr="000B1BFB">
        <w:trPr>
          <w:jc w:val="center"/>
        </w:trPr>
        <w:tc>
          <w:tcPr>
            <w:tcW w:w="1704" w:type="dxa"/>
            <w:vAlign w:val="center"/>
          </w:tcPr>
          <w:p w14:paraId="57961AEF" w14:textId="77777777" w:rsidR="00C07AE1" w:rsidRPr="00DC2CC9" w:rsidRDefault="00C07AE1" w:rsidP="000B1BFB">
            <w:pPr>
              <w:jc w:val="center"/>
              <w:rPr>
                <w:rFonts w:ascii="Times New Roman" w:hAnsi="Times New Roman"/>
              </w:rPr>
            </w:pPr>
            <w:r w:rsidRPr="00DC2CC9">
              <w:rPr>
                <w:rFonts w:ascii="Times New Roman" w:hAnsi="Times New Roman" w:hint="eastAsia"/>
              </w:rPr>
              <w:t>设防地震</w:t>
            </w:r>
          </w:p>
        </w:tc>
        <w:tc>
          <w:tcPr>
            <w:tcW w:w="1704" w:type="dxa"/>
            <w:vAlign w:val="center"/>
          </w:tcPr>
          <w:p w14:paraId="3494317F" w14:textId="77777777" w:rsidR="00C07AE1" w:rsidRPr="00DC2CC9" w:rsidRDefault="00C07AE1" w:rsidP="000B1BFB">
            <w:pPr>
              <w:jc w:val="center"/>
              <w:rPr>
                <w:rFonts w:ascii="Times New Roman" w:hAnsi="Times New Roman"/>
              </w:rPr>
            </w:pPr>
            <w:r w:rsidRPr="00DC2CC9">
              <w:rPr>
                <w:rFonts w:ascii="Times New Roman" w:hAnsi="Times New Roman" w:hint="eastAsia"/>
              </w:rPr>
              <w:t>0.12</w:t>
            </w:r>
          </w:p>
        </w:tc>
        <w:tc>
          <w:tcPr>
            <w:tcW w:w="1704" w:type="dxa"/>
            <w:vAlign w:val="center"/>
          </w:tcPr>
          <w:p w14:paraId="343B937A" w14:textId="77777777" w:rsidR="00C07AE1" w:rsidRPr="00DC2CC9" w:rsidRDefault="00C07AE1" w:rsidP="000B1BFB">
            <w:pPr>
              <w:jc w:val="center"/>
              <w:rPr>
                <w:rFonts w:ascii="Times New Roman" w:hAnsi="Times New Roman"/>
              </w:rPr>
            </w:pPr>
            <w:r w:rsidRPr="00DC2CC9">
              <w:rPr>
                <w:rFonts w:ascii="Times New Roman" w:hAnsi="Times New Roman" w:hint="eastAsia"/>
              </w:rPr>
              <w:t>0.23</w:t>
            </w:r>
            <w:r w:rsidRPr="00DC2CC9">
              <w:rPr>
                <w:rFonts w:ascii="Times New Roman" w:hAnsi="Times New Roman" w:hint="eastAsia"/>
              </w:rPr>
              <w:t>（</w:t>
            </w:r>
            <w:r w:rsidRPr="00DC2CC9">
              <w:rPr>
                <w:rFonts w:ascii="Times New Roman" w:hAnsi="Times New Roman" w:hint="eastAsia"/>
              </w:rPr>
              <w:t>0.34</w:t>
            </w:r>
            <w:r w:rsidRPr="00DC2CC9">
              <w:rPr>
                <w:rFonts w:ascii="Times New Roman" w:hAnsi="Times New Roman" w:hint="eastAsia"/>
              </w:rPr>
              <w:t>）</w:t>
            </w:r>
          </w:p>
        </w:tc>
        <w:tc>
          <w:tcPr>
            <w:tcW w:w="1705" w:type="dxa"/>
            <w:vAlign w:val="center"/>
          </w:tcPr>
          <w:p w14:paraId="6C958DF4" w14:textId="77777777" w:rsidR="00C07AE1" w:rsidRPr="00DC2CC9" w:rsidRDefault="00C07AE1" w:rsidP="000B1BFB">
            <w:pPr>
              <w:jc w:val="center"/>
              <w:rPr>
                <w:rFonts w:ascii="Times New Roman" w:hAnsi="Times New Roman"/>
              </w:rPr>
            </w:pPr>
            <w:r w:rsidRPr="00DC2CC9">
              <w:rPr>
                <w:rFonts w:ascii="Times New Roman" w:hAnsi="Times New Roman" w:hint="eastAsia"/>
              </w:rPr>
              <w:t>0.45</w:t>
            </w:r>
            <w:r w:rsidRPr="00DC2CC9">
              <w:rPr>
                <w:rFonts w:ascii="Times New Roman" w:hAnsi="Times New Roman" w:hint="eastAsia"/>
              </w:rPr>
              <w:t>（</w:t>
            </w:r>
            <w:r w:rsidRPr="00DC2CC9">
              <w:rPr>
                <w:rFonts w:ascii="Times New Roman" w:hAnsi="Times New Roman" w:hint="eastAsia"/>
              </w:rPr>
              <w:t>0.68</w:t>
            </w:r>
            <w:r w:rsidRPr="00DC2CC9">
              <w:rPr>
                <w:rFonts w:ascii="Times New Roman" w:hAnsi="Times New Roman" w:hint="eastAsia"/>
              </w:rPr>
              <w:t>）</w:t>
            </w:r>
          </w:p>
        </w:tc>
        <w:tc>
          <w:tcPr>
            <w:tcW w:w="1705" w:type="dxa"/>
            <w:vAlign w:val="center"/>
          </w:tcPr>
          <w:p w14:paraId="4073B34A" w14:textId="77777777" w:rsidR="00C07AE1" w:rsidRPr="00DC2CC9" w:rsidRDefault="00C07AE1" w:rsidP="000B1BFB">
            <w:pPr>
              <w:jc w:val="center"/>
              <w:rPr>
                <w:rFonts w:ascii="Times New Roman" w:hAnsi="Times New Roman"/>
              </w:rPr>
            </w:pPr>
            <w:r w:rsidRPr="00DC2CC9">
              <w:rPr>
                <w:rFonts w:ascii="Times New Roman" w:hAnsi="Times New Roman" w:hint="eastAsia"/>
              </w:rPr>
              <w:t>0.90</w:t>
            </w:r>
          </w:p>
        </w:tc>
      </w:tr>
      <w:tr w:rsidR="00C07AE1" w:rsidRPr="00DC2CC9" w14:paraId="17777274" w14:textId="77777777" w:rsidTr="000B1BFB">
        <w:trPr>
          <w:jc w:val="center"/>
        </w:trPr>
        <w:tc>
          <w:tcPr>
            <w:tcW w:w="1704" w:type="dxa"/>
            <w:vAlign w:val="center"/>
          </w:tcPr>
          <w:p w14:paraId="1425BE1F" w14:textId="77777777" w:rsidR="00C07AE1" w:rsidRPr="00DC2CC9" w:rsidRDefault="00C07AE1" w:rsidP="000B1BFB">
            <w:pPr>
              <w:jc w:val="center"/>
              <w:rPr>
                <w:rFonts w:ascii="Times New Roman" w:hAnsi="Times New Roman"/>
              </w:rPr>
            </w:pPr>
            <w:r w:rsidRPr="00DC2CC9">
              <w:rPr>
                <w:rFonts w:ascii="Times New Roman" w:hAnsi="Times New Roman" w:hint="eastAsia"/>
              </w:rPr>
              <w:t>罕遇地震</w:t>
            </w:r>
          </w:p>
        </w:tc>
        <w:tc>
          <w:tcPr>
            <w:tcW w:w="1704" w:type="dxa"/>
            <w:vAlign w:val="center"/>
          </w:tcPr>
          <w:p w14:paraId="06FB7392" w14:textId="77777777" w:rsidR="00C07AE1" w:rsidRPr="00DC2CC9" w:rsidRDefault="00C07AE1" w:rsidP="000B1BFB">
            <w:pPr>
              <w:jc w:val="center"/>
              <w:rPr>
                <w:rFonts w:ascii="Times New Roman" w:hAnsi="Times New Roman"/>
              </w:rPr>
            </w:pPr>
            <w:r w:rsidRPr="00DC2CC9">
              <w:rPr>
                <w:rFonts w:ascii="Times New Roman" w:hAnsi="Times New Roman" w:hint="eastAsia"/>
              </w:rPr>
              <w:t>0.28</w:t>
            </w:r>
          </w:p>
        </w:tc>
        <w:tc>
          <w:tcPr>
            <w:tcW w:w="1704" w:type="dxa"/>
            <w:vAlign w:val="center"/>
          </w:tcPr>
          <w:p w14:paraId="778D6660" w14:textId="77777777" w:rsidR="00C07AE1" w:rsidRPr="00DC2CC9" w:rsidRDefault="00C07AE1" w:rsidP="000B1BFB">
            <w:pPr>
              <w:jc w:val="center"/>
              <w:rPr>
                <w:rFonts w:ascii="Times New Roman" w:hAnsi="Times New Roman"/>
              </w:rPr>
            </w:pPr>
            <w:r w:rsidRPr="00DC2CC9">
              <w:rPr>
                <w:rFonts w:ascii="Times New Roman" w:hAnsi="Times New Roman" w:hint="eastAsia"/>
              </w:rPr>
              <w:t>0.50</w:t>
            </w:r>
            <w:r w:rsidRPr="00DC2CC9">
              <w:rPr>
                <w:rFonts w:ascii="Times New Roman" w:hAnsi="Times New Roman" w:hint="eastAsia"/>
              </w:rPr>
              <w:t>（</w:t>
            </w:r>
            <w:r w:rsidRPr="00DC2CC9">
              <w:rPr>
                <w:rFonts w:ascii="Times New Roman" w:hAnsi="Times New Roman" w:hint="eastAsia"/>
              </w:rPr>
              <w:t>0.72</w:t>
            </w:r>
            <w:r w:rsidRPr="00DC2CC9">
              <w:rPr>
                <w:rFonts w:ascii="Times New Roman" w:hAnsi="Times New Roman" w:hint="eastAsia"/>
              </w:rPr>
              <w:t>）</w:t>
            </w:r>
          </w:p>
        </w:tc>
        <w:tc>
          <w:tcPr>
            <w:tcW w:w="1705" w:type="dxa"/>
            <w:vAlign w:val="center"/>
          </w:tcPr>
          <w:p w14:paraId="069D75E0" w14:textId="77777777" w:rsidR="00C07AE1" w:rsidRPr="00DC2CC9" w:rsidRDefault="00C07AE1" w:rsidP="000B1BFB">
            <w:pPr>
              <w:jc w:val="center"/>
              <w:rPr>
                <w:rFonts w:ascii="Times New Roman" w:hAnsi="Times New Roman"/>
              </w:rPr>
            </w:pPr>
            <w:r w:rsidRPr="00DC2CC9">
              <w:rPr>
                <w:rFonts w:ascii="Times New Roman" w:hAnsi="Times New Roman" w:hint="eastAsia"/>
              </w:rPr>
              <w:t>0.90</w:t>
            </w:r>
            <w:r w:rsidRPr="00DC2CC9">
              <w:rPr>
                <w:rFonts w:ascii="Times New Roman" w:hAnsi="Times New Roman" w:hint="eastAsia"/>
              </w:rPr>
              <w:t>（</w:t>
            </w:r>
            <w:r w:rsidRPr="00DC2CC9">
              <w:rPr>
                <w:rFonts w:ascii="Times New Roman" w:hAnsi="Times New Roman" w:hint="eastAsia"/>
              </w:rPr>
              <w:t>1.20</w:t>
            </w:r>
            <w:r w:rsidRPr="00DC2CC9">
              <w:rPr>
                <w:rFonts w:ascii="Times New Roman" w:hAnsi="Times New Roman" w:hint="eastAsia"/>
              </w:rPr>
              <w:t>）</w:t>
            </w:r>
          </w:p>
        </w:tc>
        <w:tc>
          <w:tcPr>
            <w:tcW w:w="1705" w:type="dxa"/>
            <w:vAlign w:val="center"/>
          </w:tcPr>
          <w:p w14:paraId="61BFD5BC" w14:textId="77777777" w:rsidR="00C07AE1" w:rsidRPr="00DC2CC9" w:rsidRDefault="00C07AE1" w:rsidP="000B1BFB">
            <w:pPr>
              <w:jc w:val="center"/>
              <w:rPr>
                <w:rFonts w:ascii="Times New Roman" w:hAnsi="Times New Roman"/>
              </w:rPr>
            </w:pPr>
            <w:r w:rsidRPr="00DC2CC9">
              <w:rPr>
                <w:rFonts w:ascii="Times New Roman" w:hAnsi="Times New Roman" w:hint="eastAsia"/>
              </w:rPr>
              <w:t>1.40</w:t>
            </w:r>
          </w:p>
        </w:tc>
      </w:tr>
      <w:tr w:rsidR="00C07AE1" w:rsidRPr="00DC2CC9" w14:paraId="0CB4E211" w14:textId="77777777" w:rsidTr="000B1BFB">
        <w:trPr>
          <w:jc w:val="center"/>
        </w:trPr>
        <w:tc>
          <w:tcPr>
            <w:tcW w:w="1704" w:type="dxa"/>
            <w:vAlign w:val="center"/>
          </w:tcPr>
          <w:p w14:paraId="5C6E87DB" w14:textId="77777777" w:rsidR="00C07AE1" w:rsidRPr="00DC2CC9" w:rsidRDefault="00C07AE1" w:rsidP="000B1BFB">
            <w:pPr>
              <w:jc w:val="center"/>
              <w:rPr>
                <w:rFonts w:ascii="Times New Roman" w:hAnsi="Times New Roman"/>
              </w:rPr>
            </w:pPr>
            <w:r w:rsidRPr="00DC2CC9">
              <w:rPr>
                <w:rFonts w:ascii="Times New Roman" w:hAnsi="Times New Roman" w:hint="eastAsia"/>
              </w:rPr>
              <w:t>极罕遇地震</w:t>
            </w:r>
          </w:p>
        </w:tc>
        <w:tc>
          <w:tcPr>
            <w:tcW w:w="1704" w:type="dxa"/>
            <w:vAlign w:val="center"/>
          </w:tcPr>
          <w:p w14:paraId="175ED3D9" w14:textId="77777777" w:rsidR="00C07AE1" w:rsidRPr="00DC2CC9" w:rsidRDefault="00C07AE1" w:rsidP="000B1BFB">
            <w:pPr>
              <w:jc w:val="center"/>
              <w:rPr>
                <w:rFonts w:ascii="Times New Roman" w:hAnsi="Times New Roman"/>
              </w:rPr>
            </w:pPr>
            <w:r w:rsidRPr="00DC2CC9">
              <w:rPr>
                <w:rFonts w:ascii="Times New Roman" w:hAnsi="Times New Roman" w:hint="eastAsia"/>
              </w:rPr>
              <w:t>0.36</w:t>
            </w:r>
          </w:p>
        </w:tc>
        <w:tc>
          <w:tcPr>
            <w:tcW w:w="1704" w:type="dxa"/>
            <w:vAlign w:val="center"/>
          </w:tcPr>
          <w:p w14:paraId="2BF1E5E7" w14:textId="77777777" w:rsidR="00C07AE1" w:rsidRPr="00DC2CC9" w:rsidRDefault="00C07AE1" w:rsidP="000B1BFB">
            <w:pPr>
              <w:jc w:val="center"/>
              <w:rPr>
                <w:rFonts w:ascii="Times New Roman" w:hAnsi="Times New Roman"/>
              </w:rPr>
            </w:pPr>
            <w:r w:rsidRPr="00DC2CC9">
              <w:rPr>
                <w:rFonts w:ascii="Times New Roman" w:hAnsi="Times New Roman" w:hint="eastAsia"/>
              </w:rPr>
              <w:t>0.72</w:t>
            </w:r>
            <w:r w:rsidRPr="00DC2CC9">
              <w:rPr>
                <w:rFonts w:ascii="Times New Roman" w:hAnsi="Times New Roman" w:hint="eastAsia"/>
              </w:rPr>
              <w:t>（</w:t>
            </w:r>
            <w:r w:rsidRPr="00DC2CC9">
              <w:rPr>
                <w:rFonts w:ascii="Times New Roman" w:hAnsi="Times New Roman" w:hint="eastAsia"/>
              </w:rPr>
              <w:t>1.00</w:t>
            </w:r>
            <w:r w:rsidRPr="00DC2CC9">
              <w:rPr>
                <w:rFonts w:ascii="Times New Roman" w:hAnsi="Times New Roman" w:hint="eastAsia"/>
              </w:rPr>
              <w:t>）</w:t>
            </w:r>
          </w:p>
        </w:tc>
        <w:tc>
          <w:tcPr>
            <w:tcW w:w="1705" w:type="dxa"/>
            <w:vAlign w:val="center"/>
          </w:tcPr>
          <w:p w14:paraId="7A0D9FFD" w14:textId="77777777" w:rsidR="00C07AE1" w:rsidRPr="00DC2CC9" w:rsidRDefault="00C07AE1" w:rsidP="000B1BFB">
            <w:pPr>
              <w:jc w:val="center"/>
              <w:rPr>
                <w:rFonts w:ascii="Times New Roman" w:hAnsi="Times New Roman"/>
              </w:rPr>
            </w:pPr>
            <w:r w:rsidRPr="00DC2CC9">
              <w:rPr>
                <w:rFonts w:ascii="Times New Roman" w:hAnsi="Times New Roman" w:hint="eastAsia"/>
              </w:rPr>
              <w:t>1.35</w:t>
            </w:r>
            <w:r w:rsidRPr="00DC2CC9">
              <w:rPr>
                <w:rFonts w:ascii="Times New Roman" w:hAnsi="Times New Roman" w:hint="eastAsia"/>
              </w:rPr>
              <w:t>（</w:t>
            </w:r>
            <w:r w:rsidRPr="00DC2CC9">
              <w:rPr>
                <w:rFonts w:ascii="Times New Roman" w:hAnsi="Times New Roman" w:hint="eastAsia"/>
              </w:rPr>
              <w:t>2.00</w:t>
            </w:r>
            <w:r w:rsidRPr="00DC2CC9">
              <w:rPr>
                <w:rFonts w:ascii="Times New Roman" w:hAnsi="Times New Roman" w:hint="eastAsia"/>
              </w:rPr>
              <w:t>）</w:t>
            </w:r>
          </w:p>
        </w:tc>
        <w:tc>
          <w:tcPr>
            <w:tcW w:w="1705" w:type="dxa"/>
            <w:vAlign w:val="center"/>
          </w:tcPr>
          <w:p w14:paraId="77BF9B47" w14:textId="77777777" w:rsidR="00C07AE1" w:rsidRPr="00DC2CC9" w:rsidRDefault="00C07AE1" w:rsidP="000B1BFB">
            <w:pPr>
              <w:jc w:val="center"/>
              <w:rPr>
                <w:rFonts w:ascii="Times New Roman" w:hAnsi="Times New Roman"/>
              </w:rPr>
            </w:pPr>
            <w:r w:rsidRPr="00DC2CC9">
              <w:rPr>
                <w:rFonts w:ascii="Times New Roman" w:hAnsi="Times New Roman" w:hint="eastAsia"/>
              </w:rPr>
              <w:t>2.43</w:t>
            </w:r>
          </w:p>
        </w:tc>
      </w:tr>
      <w:tr w:rsidR="00C07AE1" w:rsidRPr="00DC2CC9" w14:paraId="5467FEAB" w14:textId="77777777" w:rsidTr="001F4DF0">
        <w:trPr>
          <w:trHeight w:val="432"/>
          <w:jc w:val="center"/>
        </w:trPr>
        <w:tc>
          <w:tcPr>
            <w:tcW w:w="8522" w:type="dxa"/>
            <w:gridSpan w:val="5"/>
            <w:vAlign w:val="center"/>
          </w:tcPr>
          <w:p w14:paraId="12514F9D" w14:textId="77777777" w:rsidR="00C07AE1" w:rsidRPr="001F4DF0" w:rsidRDefault="00C07AE1" w:rsidP="000B1BFB">
            <w:pPr>
              <w:pStyle w:val="afff2"/>
              <w:numPr>
                <w:ilvl w:val="0"/>
                <w:numId w:val="0"/>
              </w:numPr>
              <w:ind w:firstLineChars="100" w:firstLine="180"/>
              <w:rPr>
                <w:rFonts w:ascii="Times New Roman"/>
                <w:sz w:val="20"/>
                <w:szCs w:val="20"/>
              </w:rPr>
            </w:pPr>
            <w:r w:rsidRPr="001F4DF0">
              <w:rPr>
                <w:rFonts w:ascii="Times New Roman" w:hint="eastAsia"/>
                <w:sz w:val="20"/>
                <w:szCs w:val="20"/>
              </w:rPr>
              <w:t>注：括号中数值分别用于设计基本地震加速度为</w:t>
            </w:r>
            <w:r w:rsidRPr="001F4DF0">
              <w:rPr>
                <w:rFonts w:ascii="Times New Roman" w:hint="eastAsia"/>
                <w:sz w:val="20"/>
                <w:szCs w:val="20"/>
              </w:rPr>
              <w:t>0.15 g</w:t>
            </w:r>
            <w:r w:rsidRPr="001F4DF0">
              <w:rPr>
                <w:rFonts w:ascii="Times New Roman" w:hint="eastAsia"/>
                <w:sz w:val="20"/>
                <w:szCs w:val="20"/>
              </w:rPr>
              <w:t>和</w:t>
            </w:r>
            <w:r w:rsidRPr="001F4DF0">
              <w:rPr>
                <w:rFonts w:ascii="Times New Roman" w:hint="eastAsia"/>
                <w:sz w:val="20"/>
                <w:szCs w:val="20"/>
              </w:rPr>
              <w:t>0.30 g</w:t>
            </w:r>
            <w:r w:rsidRPr="001F4DF0">
              <w:rPr>
                <w:rFonts w:ascii="Times New Roman" w:hint="eastAsia"/>
                <w:sz w:val="20"/>
                <w:szCs w:val="20"/>
              </w:rPr>
              <w:t>的地区。</w:t>
            </w:r>
          </w:p>
        </w:tc>
      </w:tr>
    </w:tbl>
    <w:p w14:paraId="34A1CEA6" w14:textId="77777777" w:rsidR="00C07AE1" w:rsidRPr="00DC2CC9" w:rsidRDefault="00C07AE1" w:rsidP="00C07AE1">
      <w:pPr>
        <w:pStyle w:val="afffffffff0"/>
        <w:rPr>
          <w:rFonts w:ascii="Times New Roman"/>
        </w:rPr>
      </w:pPr>
      <w:r w:rsidRPr="00DC2CC9">
        <w:rPr>
          <w:rFonts w:ascii="Times New Roman" w:hint="eastAsia"/>
        </w:rPr>
        <w:t>隔震结构自振周期、等效刚度和等效阻尼比，应根据隔震层中隔震装置及阻尼装置经试验所得滞回曲线对应不同地震烈度作用时的隔震层水平位移值计算。</w:t>
      </w:r>
    </w:p>
    <w:p w14:paraId="3E8178B1" w14:textId="1073E30E" w:rsidR="00C07AE1" w:rsidRPr="00DC2CC9" w:rsidRDefault="00C07AE1" w:rsidP="00C07AE1">
      <w:pPr>
        <w:pStyle w:val="afffffffff0"/>
        <w:rPr>
          <w:rFonts w:ascii="Times New Roman"/>
        </w:rPr>
      </w:pPr>
      <w:r w:rsidRPr="00DC2CC9">
        <w:rPr>
          <w:rFonts w:ascii="Times New Roman" w:hint="eastAsia"/>
        </w:rPr>
        <w:t>当隔震结构的阻尼比不等于</w:t>
      </w:r>
      <w:r w:rsidRPr="00DC2CC9">
        <w:rPr>
          <w:rFonts w:ascii="Times New Roman" w:hint="eastAsia"/>
        </w:rPr>
        <w:t>0.05</w:t>
      </w:r>
      <w:r w:rsidRPr="00DC2CC9">
        <w:rPr>
          <w:rFonts w:ascii="Times New Roman" w:hint="eastAsia"/>
        </w:rPr>
        <w:t>时，其水平地震影响系数α曲线应按地震影响系数曲线（图</w:t>
      </w:r>
      <w:r w:rsidR="00CE0714" w:rsidRPr="00DC2CC9">
        <w:rPr>
          <w:rFonts w:ascii="Times New Roman" w:hint="eastAsia"/>
        </w:rPr>
        <w:t>2</w:t>
      </w:r>
      <w:r w:rsidRPr="00DC2CC9">
        <w:rPr>
          <w:rFonts w:ascii="Times New Roman" w:hint="eastAsia"/>
        </w:rPr>
        <w:t>）确定，但形状参数和阻尼调整系数应按下列规定调整：</w:t>
      </w:r>
    </w:p>
    <w:p w14:paraId="07FFF599" w14:textId="60264267" w:rsidR="00C07AE1" w:rsidRPr="00DC2CC9" w:rsidRDefault="00C07AE1" w:rsidP="00EA6899">
      <w:pPr>
        <w:pStyle w:val="af5"/>
        <w:numPr>
          <w:ilvl w:val="0"/>
          <w:numId w:val="41"/>
        </w:numPr>
        <w:rPr>
          <w:rFonts w:ascii="Times New Roman"/>
        </w:rPr>
      </w:pPr>
      <w:r w:rsidRPr="00DC2CC9">
        <w:rPr>
          <w:rFonts w:ascii="Times New Roman" w:hint="eastAsia"/>
        </w:rPr>
        <w:t>曲线下降段的衰减指数应按下式确定：</w:t>
      </w:r>
    </w:p>
    <w:p w14:paraId="017D9327" w14:textId="2BF1DE08" w:rsidR="00C07AE1" w:rsidRPr="007504AD" w:rsidRDefault="00C07AE1" w:rsidP="00C07AE1">
      <w:pPr>
        <w:spacing w:line="240" w:lineRule="atLeast"/>
        <w:ind w:firstLineChars="200" w:firstLine="400"/>
        <w:jc w:val="right"/>
        <w:rPr>
          <w:rFonts w:ascii="Times New Roman" w:hAnsi="Times New Roman" w:cs="Cambria Math"/>
        </w:rPr>
      </w:pPr>
      <m:oMath>
        <m:r>
          <m:rPr>
            <m:sty m:val="p"/>
          </m:rPr>
          <w:rPr>
            <w:rFonts w:ascii="Cambria Math" w:hAnsi="Cambria Math" w:cstheme="minorBidi" w:hint="eastAsia"/>
            <w:szCs w:val="24"/>
          </w:rPr>
          <m:t>γ</m:t>
        </m:r>
        <m:r>
          <m:rPr>
            <m:sty m:val="p"/>
          </m:rPr>
          <w:rPr>
            <w:rFonts w:ascii="Cambria Math" w:hAnsi="Cambria Math" w:cs="Cambria Math"/>
            <w:szCs w:val="24"/>
          </w:rPr>
          <m:t>=0.9+</m:t>
        </m:r>
        <m:f>
          <m:fPr>
            <m:ctrlPr>
              <w:rPr>
                <w:rFonts w:ascii="Cambria Math" w:hAnsi="Cambria Math" w:cs="Cambria Math"/>
                <w:szCs w:val="24"/>
              </w:rPr>
            </m:ctrlPr>
          </m:fPr>
          <m:num>
            <m:r>
              <m:rPr>
                <m:sty m:val="p"/>
              </m:rPr>
              <w:rPr>
                <w:rFonts w:ascii="Cambria Math" w:hAnsi="Cambria Math" w:cs="Cambria Math"/>
                <w:szCs w:val="24"/>
              </w:rPr>
              <m:t>0.05-ξ</m:t>
            </m:r>
          </m:num>
          <m:den>
            <m:r>
              <m:rPr>
                <m:sty m:val="p"/>
              </m:rPr>
              <w:rPr>
                <w:rFonts w:ascii="Cambria Math" w:hAnsi="Cambria Math" w:cs="Cambria Math"/>
                <w:szCs w:val="24"/>
              </w:rPr>
              <m:t>0.3+6ξ</m:t>
            </m:r>
          </m:den>
        </m:f>
      </m:oMath>
      <w:r w:rsidRPr="007504AD">
        <w:rPr>
          <w:rFonts w:ascii="Times New Roman" w:hAnsi="Times New Roman" w:hint="eastAsia"/>
          <w:szCs w:val="24"/>
        </w:rPr>
        <w:t xml:space="preserve">              </w:t>
      </w:r>
      <w:r w:rsidRPr="007504AD">
        <w:rPr>
          <w:rFonts w:ascii="Times New Roman" w:hAnsi="Times New Roman" w:hint="eastAsia"/>
          <w:szCs w:val="24"/>
        </w:rPr>
        <w:t>····················</w:t>
      </w:r>
      <w:r w:rsidRPr="007504AD">
        <w:rPr>
          <w:rFonts w:ascii="Times New Roman" w:hAnsi="Times New Roman" w:hint="eastAsia"/>
        </w:rPr>
        <w:t>（</w:t>
      </w:r>
      <w:r w:rsidRPr="007504AD">
        <w:rPr>
          <w:rFonts w:ascii="Times New Roman" w:hAnsi="Times New Roman" w:hint="eastAsia"/>
        </w:rPr>
        <w:t>1</w:t>
      </w:r>
      <w:r w:rsidRPr="007504AD">
        <w:rPr>
          <w:rFonts w:ascii="Times New Roman" w:hAnsi="Times New Roman" w:hint="eastAsia"/>
        </w:rPr>
        <w:t>）</w:t>
      </w:r>
    </w:p>
    <w:p w14:paraId="4982E4DB" w14:textId="77777777" w:rsidR="00C07AE1" w:rsidRPr="00DC2CC9" w:rsidRDefault="00C07AE1" w:rsidP="00FA11C7">
      <w:pPr>
        <w:ind w:leftChars="500" w:left="500" w:firstLineChars="300" w:firstLine="300"/>
        <w:rPr>
          <w:rFonts w:ascii="Times New Roman" w:hAnsi="Times New Roman" w:cs="Cambria Math"/>
        </w:rPr>
      </w:pPr>
      <w:r w:rsidRPr="00DC2CC9">
        <w:rPr>
          <w:rFonts w:ascii="Times New Roman" w:hAnsi="Times New Roman" w:cs="Cambria Math" w:hint="eastAsia"/>
          <w:szCs w:val="24"/>
        </w:rPr>
        <w:t>式中：</w:t>
      </w:r>
    </w:p>
    <w:p w14:paraId="3D928D69" w14:textId="77777777" w:rsidR="00C07AE1" w:rsidRPr="00DC2CC9" w:rsidRDefault="00C07AE1" w:rsidP="00FA11C7">
      <w:pPr>
        <w:ind w:leftChars="500" w:left="500" w:firstLineChars="300" w:firstLine="300"/>
        <w:rPr>
          <w:rFonts w:ascii="Times New Roman" w:hAnsi="Times New Roman" w:cs="Cambria Math"/>
        </w:rPr>
      </w:pPr>
      <w:r w:rsidRPr="00DC2CC9">
        <w:rPr>
          <w:rFonts w:ascii="Times New Roman" w:hAnsi="Times New Roman" w:cs="Cambria Math" w:hint="eastAsia"/>
          <w:szCs w:val="24"/>
        </w:rPr>
        <w:t>γ——曲线下降段的衰减指数；</w:t>
      </w:r>
    </w:p>
    <w:p w14:paraId="3A47D102" w14:textId="77777777" w:rsidR="00C07AE1" w:rsidRPr="00DC2CC9" w:rsidRDefault="00C07AE1" w:rsidP="00FA11C7">
      <w:pPr>
        <w:ind w:leftChars="500" w:left="500" w:firstLineChars="300" w:firstLine="300"/>
        <w:rPr>
          <w:rFonts w:ascii="Times New Roman" w:hAnsi="Times New Roman" w:cs="Cambria Math"/>
        </w:rPr>
      </w:pPr>
      <w:r w:rsidRPr="00DC2CC9">
        <w:rPr>
          <w:rFonts w:ascii="Times New Roman" w:hAnsi="Times New Roman" w:cs="Cambria Math" w:hint="eastAsia"/>
          <w:szCs w:val="24"/>
        </w:rPr>
        <w:t>ξ——阻尼比，取隔震结构振型阻尼比。</w:t>
      </w:r>
    </w:p>
    <w:p w14:paraId="702A07B9" w14:textId="04A758D6" w:rsidR="00C07AE1" w:rsidRPr="00DC2CC9" w:rsidRDefault="00C07AE1" w:rsidP="00EA6899">
      <w:pPr>
        <w:pStyle w:val="af5"/>
        <w:rPr>
          <w:rFonts w:ascii="Times New Roman"/>
        </w:rPr>
      </w:pPr>
      <w:r w:rsidRPr="00DC2CC9">
        <w:rPr>
          <w:rFonts w:ascii="Times New Roman" w:hint="eastAsia"/>
        </w:rPr>
        <w:t>阻尼调整系数应按下式确定：</w:t>
      </w:r>
    </w:p>
    <w:p w14:paraId="177747C9" w14:textId="028EBA07" w:rsidR="00C07AE1" w:rsidRPr="007504AD" w:rsidRDefault="00C07AE1" w:rsidP="00C07AE1">
      <w:pPr>
        <w:spacing w:line="240" w:lineRule="atLeast"/>
        <w:ind w:firstLineChars="200" w:firstLine="420"/>
        <w:jc w:val="right"/>
        <w:rPr>
          <w:rFonts w:ascii="Times New Roman" w:hAnsi="Times New Roman" w:cs="Cambria Math"/>
          <w:sz w:val="22"/>
          <w:szCs w:val="22"/>
        </w:rPr>
      </w:pPr>
      <m:oMath>
        <m:r>
          <m:rPr>
            <m:sty m:val="p"/>
          </m:rPr>
          <w:rPr>
            <w:rFonts w:ascii="Cambria Math" w:hAnsi="Cambria Math" w:cstheme="minorBidi" w:hint="eastAsia"/>
            <w:szCs w:val="24"/>
          </w:rPr>
          <m:t>η</m:t>
        </m:r>
        <m:r>
          <m:rPr>
            <m:sty m:val="p"/>
          </m:rPr>
          <w:rPr>
            <w:rFonts w:ascii="Cambria Math" w:hAnsi="Cambria Math" w:cs="Cambria Math"/>
            <w:szCs w:val="24"/>
          </w:rPr>
          <m:t>=1+</m:t>
        </m:r>
        <m:f>
          <m:fPr>
            <m:ctrlPr>
              <w:rPr>
                <w:rFonts w:ascii="Cambria Math" w:hAnsi="Cambria Math" w:cs="Cambria Math"/>
                <w:szCs w:val="24"/>
              </w:rPr>
            </m:ctrlPr>
          </m:fPr>
          <m:num>
            <m:r>
              <m:rPr>
                <m:sty m:val="p"/>
              </m:rPr>
              <w:rPr>
                <w:rFonts w:ascii="Cambria Math" w:hAnsi="Cambria Math" w:cs="Cambria Math"/>
                <w:szCs w:val="24"/>
              </w:rPr>
              <m:t>0.05-ξ</m:t>
            </m:r>
          </m:num>
          <m:den>
            <m:r>
              <m:rPr>
                <m:sty m:val="p"/>
              </m:rPr>
              <w:rPr>
                <w:rFonts w:ascii="Cambria Math" w:hAnsi="Cambria Math" w:cs="Cambria Math"/>
                <w:szCs w:val="24"/>
              </w:rPr>
              <m:t>0.8+1.6ξ</m:t>
            </m:r>
          </m:den>
        </m:f>
      </m:oMath>
      <w:r w:rsidRPr="00E60327">
        <w:rPr>
          <w:rFonts w:ascii="Times New Roman" w:hAnsi="Times New Roman" w:cs="Cambria Math" w:hint="eastAsia"/>
          <w:szCs w:val="24"/>
        </w:rPr>
        <w:t xml:space="preserve"> </w:t>
      </w:r>
      <w:r w:rsidRPr="007504AD">
        <w:rPr>
          <w:rFonts w:ascii="Times New Roman" w:hAnsi="Times New Roman" w:cs="Cambria Math" w:hint="eastAsia"/>
          <w:sz w:val="22"/>
          <w:szCs w:val="28"/>
        </w:rPr>
        <w:t xml:space="preserve">            </w:t>
      </w:r>
      <w:r w:rsidRPr="007504AD">
        <w:rPr>
          <w:rFonts w:ascii="Times New Roman" w:hAnsi="Times New Roman" w:hint="eastAsia"/>
          <w:szCs w:val="24"/>
        </w:rPr>
        <w:t xml:space="preserve"> </w:t>
      </w:r>
      <w:r w:rsidRPr="007504AD">
        <w:rPr>
          <w:rFonts w:ascii="Times New Roman" w:hAnsi="Times New Roman" w:hint="eastAsia"/>
          <w:szCs w:val="24"/>
        </w:rPr>
        <w:t>····················</w:t>
      </w:r>
      <w:r w:rsidRPr="007504AD">
        <w:rPr>
          <w:rFonts w:ascii="Times New Roman" w:hAnsi="Times New Roman" w:cs="Cambria Math" w:hint="eastAsia"/>
          <w:szCs w:val="24"/>
        </w:rPr>
        <w:t>（</w:t>
      </w:r>
      <w:r w:rsidRPr="007504AD">
        <w:rPr>
          <w:rFonts w:ascii="Times New Roman" w:hAnsi="Times New Roman" w:cs="Cambria Math" w:hint="eastAsia"/>
          <w:szCs w:val="24"/>
        </w:rPr>
        <w:t>2</w:t>
      </w:r>
      <w:r w:rsidRPr="007504AD">
        <w:rPr>
          <w:rFonts w:ascii="Times New Roman" w:hAnsi="Times New Roman" w:cs="Cambria Math" w:hint="eastAsia"/>
          <w:szCs w:val="24"/>
        </w:rPr>
        <w:t>）</w:t>
      </w:r>
    </w:p>
    <w:p w14:paraId="56099BFF" w14:textId="77777777" w:rsidR="00C07AE1" w:rsidRPr="00DC2CC9" w:rsidRDefault="00C07AE1" w:rsidP="00481ADB">
      <w:pPr>
        <w:ind w:leftChars="500" w:left="500" w:firstLineChars="300" w:firstLine="300"/>
        <w:rPr>
          <w:rFonts w:ascii="Times New Roman" w:hAnsi="Times New Roman" w:cs="Cambria Math"/>
          <w:szCs w:val="24"/>
        </w:rPr>
      </w:pPr>
      <w:r w:rsidRPr="00DC2CC9">
        <w:rPr>
          <w:rFonts w:ascii="Times New Roman" w:hAnsi="Times New Roman" w:cs="Cambria Math" w:hint="eastAsia"/>
          <w:szCs w:val="24"/>
        </w:rPr>
        <w:t>式中：</w:t>
      </w:r>
    </w:p>
    <w:p w14:paraId="49B26565" w14:textId="77777777" w:rsidR="00C07AE1" w:rsidRPr="00DC2CC9" w:rsidRDefault="00C07AE1" w:rsidP="00481ADB">
      <w:pPr>
        <w:ind w:leftChars="500" w:left="500" w:firstLineChars="300" w:firstLine="300"/>
        <w:rPr>
          <w:rFonts w:ascii="Times New Roman" w:hAnsi="Times New Roman" w:cs="Cambria Math"/>
          <w:szCs w:val="24"/>
        </w:rPr>
      </w:pPr>
      <w:r w:rsidRPr="00DC2CC9">
        <w:rPr>
          <w:rFonts w:ascii="Times New Roman" w:hAnsi="Times New Roman" w:cs="Cambria Math" w:hint="eastAsia"/>
          <w:szCs w:val="24"/>
        </w:rPr>
        <w:t>η——阻尼调整系数，当小于</w:t>
      </w:r>
      <w:r w:rsidRPr="00DC2CC9">
        <w:rPr>
          <w:rFonts w:ascii="Times New Roman" w:hAnsi="Times New Roman" w:cs="Cambria Math" w:hint="eastAsia"/>
          <w:szCs w:val="24"/>
        </w:rPr>
        <w:t>0.55</w:t>
      </w:r>
      <w:r w:rsidRPr="00DC2CC9">
        <w:rPr>
          <w:rFonts w:ascii="Times New Roman" w:hAnsi="Times New Roman" w:cs="Cambria Math" w:hint="eastAsia"/>
          <w:szCs w:val="24"/>
        </w:rPr>
        <w:t>时应取</w:t>
      </w:r>
      <w:r w:rsidRPr="00DC2CC9">
        <w:rPr>
          <w:rFonts w:ascii="Times New Roman" w:hAnsi="Times New Roman" w:cs="Cambria Math" w:hint="eastAsia"/>
          <w:szCs w:val="24"/>
        </w:rPr>
        <w:t>0.55</w:t>
      </w:r>
      <w:r w:rsidRPr="00DC2CC9">
        <w:rPr>
          <w:rFonts w:ascii="Times New Roman" w:hAnsi="Times New Roman" w:cs="Cambria Math" w:hint="eastAsia"/>
          <w:szCs w:val="24"/>
        </w:rPr>
        <w:t>。</w:t>
      </w:r>
    </w:p>
    <w:p w14:paraId="5BE8B2C6" w14:textId="77777777" w:rsidR="00C07AE1" w:rsidRPr="00DC2CC9" w:rsidRDefault="00C07AE1" w:rsidP="00C07AE1">
      <w:pPr>
        <w:pStyle w:val="afffffffff0"/>
        <w:rPr>
          <w:rFonts w:ascii="Times New Roman"/>
        </w:rPr>
      </w:pPr>
      <w:r w:rsidRPr="00DC2CC9">
        <w:rPr>
          <w:rFonts w:ascii="Times New Roman" w:hint="eastAsia"/>
        </w:rPr>
        <w:t>隔震结构采用时程分析法时，地震动加速度时程曲线的选择合成应符合下列规定：</w:t>
      </w:r>
    </w:p>
    <w:p w14:paraId="091F4307" w14:textId="2FB66734" w:rsidR="00C07AE1" w:rsidRPr="00DC2CC9" w:rsidRDefault="00C07AE1" w:rsidP="00D3405F">
      <w:pPr>
        <w:pStyle w:val="af5"/>
        <w:numPr>
          <w:ilvl w:val="0"/>
          <w:numId w:val="42"/>
        </w:numPr>
        <w:rPr>
          <w:rFonts w:ascii="Times New Roman"/>
        </w:rPr>
      </w:pPr>
      <w:r w:rsidRPr="00DC2CC9">
        <w:rPr>
          <w:rFonts w:ascii="Times New Roman"/>
        </w:rPr>
        <w:t>地震动加速度时程曲线应符合设计反应谱和设计加速度峰值的基本规定</w:t>
      </w:r>
      <w:r w:rsidRPr="00DC2CC9">
        <w:rPr>
          <w:rFonts w:ascii="Times New Roman" w:hint="eastAsia"/>
        </w:rPr>
        <w:t>，</w:t>
      </w:r>
      <w:r w:rsidRPr="00DC2CC9">
        <w:rPr>
          <w:rFonts w:ascii="Times New Roman"/>
        </w:rPr>
        <w:t>设计地震加速度最大值应按表</w:t>
      </w:r>
      <w:r w:rsidRPr="00DC2CC9">
        <w:rPr>
          <w:rFonts w:ascii="Times New Roman" w:hint="eastAsia"/>
        </w:rPr>
        <w:t>2</w:t>
      </w:r>
      <w:r w:rsidRPr="00DC2CC9">
        <w:rPr>
          <w:rFonts w:ascii="Times New Roman"/>
        </w:rPr>
        <w:t>采用</w:t>
      </w:r>
      <w:r w:rsidRPr="00DC2CC9">
        <w:rPr>
          <w:rFonts w:ascii="Times New Roman" w:hint="eastAsia"/>
        </w:rPr>
        <w:t>；</w:t>
      </w:r>
    </w:p>
    <w:p w14:paraId="0F5B2901" w14:textId="12813038" w:rsidR="00C07AE1" w:rsidRPr="00DC2CC9" w:rsidRDefault="00C07AE1" w:rsidP="00D3405F">
      <w:pPr>
        <w:pStyle w:val="af5"/>
        <w:rPr>
          <w:rFonts w:ascii="Times New Roman"/>
        </w:rPr>
      </w:pPr>
      <w:r w:rsidRPr="00DC2CC9">
        <w:rPr>
          <w:rFonts w:ascii="Times New Roman"/>
        </w:rPr>
        <w:t>实际强震记录地震动加速度时程曲线应根据地震烈度、设计地震分组和场地类别选择</w:t>
      </w:r>
      <w:r w:rsidRPr="00DC2CC9">
        <w:rPr>
          <w:rFonts w:ascii="Times New Roman" w:hint="eastAsia"/>
        </w:rPr>
        <w:t>，</w:t>
      </w:r>
      <w:r w:rsidRPr="00DC2CC9">
        <w:rPr>
          <w:rFonts w:ascii="Times New Roman"/>
        </w:rPr>
        <w:t>多组时程曲线的平均地震影响系数曲线应与振型分解反应谱所采用的地震影响系数曲线在统计意义上相符</w:t>
      </w:r>
      <w:r w:rsidRPr="00DC2CC9">
        <w:rPr>
          <w:rFonts w:ascii="Times New Roman" w:hint="eastAsia"/>
        </w:rPr>
        <w:t>；</w:t>
      </w:r>
    </w:p>
    <w:p w14:paraId="3740CD73" w14:textId="5334E5A5" w:rsidR="00C07AE1" w:rsidRPr="00DC2CC9" w:rsidRDefault="00C07AE1" w:rsidP="00D3405F">
      <w:pPr>
        <w:pStyle w:val="af5"/>
        <w:rPr>
          <w:rFonts w:ascii="Times New Roman"/>
        </w:rPr>
      </w:pPr>
      <w:r w:rsidRPr="00DC2CC9">
        <w:rPr>
          <w:rFonts w:ascii="Times New Roman"/>
        </w:rPr>
        <w:t>人工模拟地震动加速度时程曲线应考虑阻尼比和相位信息的影响。</w:t>
      </w:r>
    </w:p>
    <w:p w14:paraId="4C16968F" w14:textId="77777777" w:rsidR="00C07AE1" w:rsidRPr="00DC2CC9" w:rsidRDefault="00C07AE1" w:rsidP="00C07AE1">
      <w:pPr>
        <w:pStyle w:val="aff2"/>
        <w:spacing w:before="156" w:after="156"/>
        <w:rPr>
          <w:rFonts w:ascii="Times New Roman"/>
        </w:rPr>
      </w:pPr>
      <w:r w:rsidRPr="00DC2CC9">
        <w:rPr>
          <w:rFonts w:ascii="Times New Roman" w:hint="eastAsia"/>
        </w:rPr>
        <w:t>时程分析所用水平地震加速度时程的最大值</w:t>
      </w:r>
    </w:p>
    <w:p w14:paraId="199AC75D" w14:textId="787B1F8E" w:rsidR="00C07AE1" w:rsidRPr="00DC2CC9" w:rsidRDefault="00C07AE1" w:rsidP="00C07AE1">
      <w:pPr>
        <w:pStyle w:val="affffb"/>
        <w:ind w:firstLine="420"/>
        <w:jc w:val="center"/>
        <w:rPr>
          <w:rFonts w:ascii="Times New Roman"/>
        </w:rPr>
      </w:pPr>
      <w:r w:rsidRPr="00DC2CC9">
        <w:rPr>
          <w:rFonts w:ascii="Times New Roman" w:hint="eastAsia"/>
        </w:rPr>
        <w:t xml:space="preserve">                                                    </w:t>
      </w:r>
      <w:r w:rsidRPr="00DC2CC9">
        <w:rPr>
          <w:rFonts w:ascii="Times New Roman" w:hint="eastAsia"/>
        </w:rPr>
        <w:t>单位为厘米每</w:t>
      </w:r>
      <w:r w:rsidR="00A374F0">
        <w:rPr>
          <w:rFonts w:ascii="Times New Roman" w:hint="eastAsia"/>
        </w:rPr>
        <w:t>平</w:t>
      </w:r>
      <w:r w:rsidRPr="00DC2CC9">
        <w:rPr>
          <w:rFonts w:ascii="Times New Roman" w:hint="eastAsia"/>
        </w:rPr>
        <w:t>方秒（</w:t>
      </w:r>
      <w:r w:rsidRPr="00DC2CC9">
        <w:rPr>
          <w:rFonts w:ascii="Times New Roman" w:hint="eastAsia"/>
        </w:rPr>
        <w:t>cm/s</w:t>
      </w:r>
      <w:r w:rsidRPr="00DC2CC9">
        <w:rPr>
          <w:rFonts w:ascii="Times New Roman" w:hint="eastAsia"/>
          <w:vertAlign w:val="superscript"/>
        </w:rPr>
        <w:t>2</w:t>
      </w:r>
      <w:r w:rsidRPr="00DC2CC9">
        <w:rPr>
          <w:rFonts w:ascii="Times New Roman" w:hint="eastAsia"/>
        </w:rPr>
        <w:t>）</w:t>
      </w:r>
    </w:p>
    <w:tbl>
      <w:tblPr>
        <w:tblStyle w:val="afffffffffc"/>
        <w:tblW w:w="0" w:type="auto"/>
        <w:jc w:val="center"/>
        <w:tblLook w:val="04A0" w:firstRow="1" w:lastRow="0" w:firstColumn="1" w:lastColumn="0" w:noHBand="0" w:noVBand="1"/>
      </w:tblPr>
      <w:tblGrid>
        <w:gridCol w:w="1704"/>
        <w:gridCol w:w="1704"/>
        <w:gridCol w:w="1704"/>
        <w:gridCol w:w="1705"/>
        <w:gridCol w:w="1705"/>
      </w:tblGrid>
      <w:tr w:rsidR="00C07AE1" w:rsidRPr="00DC2CC9" w14:paraId="3F4A3C37" w14:textId="77777777" w:rsidTr="000B1BFB">
        <w:trPr>
          <w:jc w:val="center"/>
        </w:trPr>
        <w:tc>
          <w:tcPr>
            <w:tcW w:w="1704" w:type="dxa"/>
            <w:vAlign w:val="center"/>
          </w:tcPr>
          <w:p w14:paraId="61DF0556" w14:textId="77777777" w:rsidR="00C07AE1" w:rsidRPr="00DC2CC9" w:rsidRDefault="00C07AE1" w:rsidP="000B1BFB">
            <w:pPr>
              <w:jc w:val="center"/>
              <w:rPr>
                <w:rFonts w:ascii="Times New Roman" w:hAnsi="Times New Roman"/>
              </w:rPr>
            </w:pPr>
            <w:r w:rsidRPr="00DC2CC9">
              <w:rPr>
                <w:rFonts w:ascii="Times New Roman" w:hAnsi="Times New Roman" w:hint="eastAsia"/>
              </w:rPr>
              <w:t>抗震设防烈度</w:t>
            </w:r>
          </w:p>
        </w:tc>
        <w:tc>
          <w:tcPr>
            <w:tcW w:w="1704" w:type="dxa"/>
            <w:vAlign w:val="center"/>
          </w:tcPr>
          <w:p w14:paraId="43DCAA2E" w14:textId="77777777" w:rsidR="00C07AE1" w:rsidRPr="00DC2CC9" w:rsidRDefault="00C07AE1" w:rsidP="000B1BFB">
            <w:pPr>
              <w:jc w:val="center"/>
              <w:rPr>
                <w:rFonts w:ascii="Times New Roman" w:hAnsi="Times New Roman"/>
              </w:rPr>
            </w:pPr>
            <w:r w:rsidRPr="00DC2CC9">
              <w:rPr>
                <w:rFonts w:ascii="Times New Roman" w:hAnsi="Times New Roman" w:hint="eastAsia"/>
              </w:rPr>
              <w:t>6</w:t>
            </w:r>
            <w:r w:rsidRPr="00DC2CC9">
              <w:rPr>
                <w:rFonts w:ascii="Times New Roman" w:hAnsi="Times New Roman" w:hint="eastAsia"/>
              </w:rPr>
              <w:t>度</w:t>
            </w:r>
          </w:p>
        </w:tc>
        <w:tc>
          <w:tcPr>
            <w:tcW w:w="1704" w:type="dxa"/>
            <w:vAlign w:val="center"/>
          </w:tcPr>
          <w:p w14:paraId="03797CCF" w14:textId="77777777" w:rsidR="00C07AE1" w:rsidRPr="00DC2CC9" w:rsidRDefault="00C07AE1" w:rsidP="000B1BFB">
            <w:pPr>
              <w:jc w:val="center"/>
              <w:rPr>
                <w:rFonts w:ascii="Times New Roman" w:hAnsi="Times New Roman"/>
              </w:rPr>
            </w:pPr>
            <w:r w:rsidRPr="00DC2CC9">
              <w:rPr>
                <w:rFonts w:ascii="Times New Roman" w:hAnsi="Times New Roman" w:hint="eastAsia"/>
              </w:rPr>
              <w:t>7</w:t>
            </w:r>
            <w:r w:rsidRPr="00DC2CC9">
              <w:rPr>
                <w:rFonts w:ascii="Times New Roman" w:hAnsi="Times New Roman" w:hint="eastAsia"/>
              </w:rPr>
              <w:t>度</w:t>
            </w:r>
          </w:p>
        </w:tc>
        <w:tc>
          <w:tcPr>
            <w:tcW w:w="1705" w:type="dxa"/>
            <w:vAlign w:val="center"/>
          </w:tcPr>
          <w:p w14:paraId="66B5B95C" w14:textId="77777777" w:rsidR="00C07AE1" w:rsidRPr="00DC2CC9" w:rsidRDefault="00C07AE1" w:rsidP="000B1BFB">
            <w:pPr>
              <w:jc w:val="center"/>
              <w:rPr>
                <w:rFonts w:ascii="Times New Roman" w:hAnsi="Times New Roman"/>
              </w:rPr>
            </w:pPr>
            <w:r w:rsidRPr="00DC2CC9">
              <w:rPr>
                <w:rFonts w:ascii="Times New Roman" w:hAnsi="Times New Roman" w:hint="eastAsia"/>
              </w:rPr>
              <w:t>8</w:t>
            </w:r>
            <w:r w:rsidRPr="00DC2CC9">
              <w:rPr>
                <w:rFonts w:ascii="Times New Roman" w:hAnsi="Times New Roman" w:hint="eastAsia"/>
              </w:rPr>
              <w:t>度</w:t>
            </w:r>
          </w:p>
        </w:tc>
        <w:tc>
          <w:tcPr>
            <w:tcW w:w="1705" w:type="dxa"/>
            <w:vAlign w:val="center"/>
          </w:tcPr>
          <w:p w14:paraId="6494E60C" w14:textId="77777777" w:rsidR="00C07AE1" w:rsidRPr="00DC2CC9" w:rsidRDefault="00C07AE1" w:rsidP="000B1BFB">
            <w:pPr>
              <w:jc w:val="center"/>
              <w:rPr>
                <w:rFonts w:ascii="Times New Roman" w:hAnsi="Times New Roman"/>
              </w:rPr>
            </w:pPr>
            <w:r w:rsidRPr="00DC2CC9">
              <w:rPr>
                <w:rFonts w:ascii="Times New Roman" w:hAnsi="Times New Roman" w:hint="eastAsia"/>
              </w:rPr>
              <w:t>9</w:t>
            </w:r>
            <w:r w:rsidRPr="00DC2CC9">
              <w:rPr>
                <w:rFonts w:ascii="Times New Roman" w:hAnsi="Times New Roman" w:hint="eastAsia"/>
              </w:rPr>
              <w:t>度</w:t>
            </w:r>
          </w:p>
        </w:tc>
      </w:tr>
      <w:tr w:rsidR="00C07AE1" w:rsidRPr="00DC2CC9" w14:paraId="58A6E1C0" w14:textId="77777777" w:rsidTr="000B1BFB">
        <w:trPr>
          <w:jc w:val="center"/>
        </w:trPr>
        <w:tc>
          <w:tcPr>
            <w:tcW w:w="1704" w:type="dxa"/>
            <w:vAlign w:val="center"/>
          </w:tcPr>
          <w:p w14:paraId="1DF4EC5D" w14:textId="77777777" w:rsidR="00C07AE1" w:rsidRPr="00DC2CC9" w:rsidRDefault="00C07AE1" w:rsidP="000B1BFB">
            <w:pPr>
              <w:jc w:val="center"/>
              <w:rPr>
                <w:rFonts w:ascii="Times New Roman" w:hAnsi="Times New Roman"/>
              </w:rPr>
            </w:pPr>
            <w:r w:rsidRPr="00DC2CC9">
              <w:rPr>
                <w:rFonts w:ascii="Times New Roman" w:hAnsi="Times New Roman" w:hint="eastAsia"/>
              </w:rPr>
              <w:t>设防地震</w:t>
            </w:r>
          </w:p>
        </w:tc>
        <w:tc>
          <w:tcPr>
            <w:tcW w:w="1704" w:type="dxa"/>
            <w:vAlign w:val="center"/>
          </w:tcPr>
          <w:p w14:paraId="581C7237" w14:textId="77777777" w:rsidR="00C07AE1" w:rsidRPr="00DC2CC9" w:rsidRDefault="00C07AE1" w:rsidP="000B1BFB">
            <w:pPr>
              <w:jc w:val="center"/>
              <w:rPr>
                <w:rFonts w:ascii="Times New Roman" w:hAnsi="Times New Roman"/>
              </w:rPr>
            </w:pPr>
            <w:r w:rsidRPr="00DC2CC9">
              <w:rPr>
                <w:rFonts w:ascii="Times New Roman" w:hAnsi="Times New Roman" w:hint="eastAsia"/>
              </w:rPr>
              <w:t>50</w:t>
            </w:r>
          </w:p>
        </w:tc>
        <w:tc>
          <w:tcPr>
            <w:tcW w:w="1704" w:type="dxa"/>
            <w:vAlign w:val="center"/>
          </w:tcPr>
          <w:p w14:paraId="56569E4B" w14:textId="77777777" w:rsidR="00C07AE1" w:rsidRPr="00DC2CC9" w:rsidRDefault="00C07AE1" w:rsidP="000B1BFB">
            <w:pPr>
              <w:jc w:val="center"/>
              <w:rPr>
                <w:rFonts w:ascii="Times New Roman" w:hAnsi="Times New Roman"/>
              </w:rPr>
            </w:pPr>
            <w:r w:rsidRPr="00DC2CC9">
              <w:rPr>
                <w:rFonts w:ascii="Times New Roman" w:hAnsi="Times New Roman" w:hint="eastAsia"/>
              </w:rPr>
              <w:t>100</w:t>
            </w:r>
            <w:r w:rsidRPr="00DC2CC9">
              <w:rPr>
                <w:rFonts w:ascii="Times New Roman" w:hAnsi="Times New Roman" w:hint="eastAsia"/>
              </w:rPr>
              <w:t>（</w:t>
            </w:r>
            <w:r w:rsidRPr="00DC2CC9">
              <w:rPr>
                <w:rFonts w:ascii="Times New Roman" w:hAnsi="Times New Roman" w:hint="eastAsia"/>
              </w:rPr>
              <w:t>150</w:t>
            </w:r>
            <w:r w:rsidRPr="00DC2CC9">
              <w:rPr>
                <w:rFonts w:ascii="Times New Roman" w:hAnsi="Times New Roman" w:hint="eastAsia"/>
              </w:rPr>
              <w:t>）</w:t>
            </w:r>
          </w:p>
        </w:tc>
        <w:tc>
          <w:tcPr>
            <w:tcW w:w="1705" w:type="dxa"/>
            <w:vAlign w:val="center"/>
          </w:tcPr>
          <w:p w14:paraId="540375D1" w14:textId="77777777" w:rsidR="00C07AE1" w:rsidRPr="00DC2CC9" w:rsidRDefault="00C07AE1" w:rsidP="000B1BFB">
            <w:pPr>
              <w:jc w:val="center"/>
              <w:rPr>
                <w:rFonts w:ascii="Times New Roman" w:hAnsi="Times New Roman"/>
              </w:rPr>
            </w:pPr>
            <w:r w:rsidRPr="00DC2CC9">
              <w:rPr>
                <w:rFonts w:ascii="Times New Roman" w:hAnsi="Times New Roman" w:hint="eastAsia"/>
              </w:rPr>
              <w:t>200</w:t>
            </w:r>
            <w:r w:rsidRPr="00DC2CC9">
              <w:rPr>
                <w:rFonts w:ascii="Times New Roman" w:hAnsi="Times New Roman" w:hint="eastAsia"/>
              </w:rPr>
              <w:t>（</w:t>
            </w:r>
            <w:r w:rsidRPr="00DC2CC9">
              <w:rPr>
                <w:rFonts w:ascii="Times New Roman" w:hAnsi="Times New Roman" w:hint="eastAsia"/>
              </w:rPr>
              <w:t>300</w:t>
            </w:r>
            <w:r w:rsidRPr="00DC2CC9">
              <w:rPr>
                <w:rFonts w:ascii="Times New Roman" w:hAnsi="Times New Roman" w:hint="eastAsia"/>
              </w:rPr>
              <w:t>）</w:t>
            </w:r>
          </w:p>
        </w:tc>
        <w:tc>
          <w:tcPr>
            <w:tcW w:w="1705" w:type="dxa"/>
            <w:vAlign w:val="center"/>
          </w:tcPr>
          <w:p w14:paraId="23CBB336" w14:textId="77777777" w:rsidR="00C07AE1" w:rsidRPr="00DC2CC9" w:rsidRDefault="00C07AE1" w:rsidP="000B1BFB">
            <w:pPr>
              <w:jc w:val="center"/>
              <w:rPr>
                <w:rFonts w:ascii="Times New Roman" w:hAnsi="Times New Roman"/>
              </w:rPr>
            </w:pPr>
            <w:r w:rsidRPr="00DC2CC9">
              <w:rPr>
                <w:rFonts w:ascii="Times New Roman" w:hAnsi="Times New Roman" w:hint="eastAsia"/>
              </w:rPr>
              <w:t>400</w:t>
            </w:r>
          </w:p>
        </w:tc>
      </w:tr>
      <w:tr w:rsidR="00C07AE1" w:rsidRPr="00DC2CC9" w14:paraId="2139ECE0" w14:textId="77777777" w:rsidTr="000B1BFB">
        <w:trPr>
          <w:jc w:val="center"/>
        </w:trPr>
        <w:tc>
          <w:tcPr>
            <w:tcW w:w="1704" w:type="dxa"/>
            <w:vAlign w:val="center"/>
          </w:tcPr>
          <w:p w14:paraId="152F795D" w14:textId="77777777" w:rsidR="00C07AE1" w:rsidRPr="00DC2CC9" w:rsidRDefault="00C07AE1" w:rsidP="000B1BFB">
            <w:pPr>
              <w:jc w:val="center"/>
              <w:rPr>
                <w:rFonts w:ascii="Times New Roman" w:hAnsi="Times New Roman"/>
              </w:rPr>
            </w:pPr>
            <w:r w:rsidRPr="00DC2CC9">
              <w:rPr>
                <w:rFonts w:ascii="Times New Roman" w:hAnsi="Times New Roman" w:hint="eastAsia"/>
              </w:rPr>
              <w:t>罕遇地震</w:t>
            </w:r>
          </w:p>
        </w:tc>
        <w:tc>
          <w:tcPr>
            <w:tcW w:w="1704" w:type="dxa"/>
            <w:vAlign w:val="center"/>
          </w:tcPr>
          <w:p w14:paraId="594FACDD" w14:textId="77777777" w:rsidR="00C07AE1" w:rsidRPr="00DC2CC9" w:rsidRDefault="00C07AE1" w:rsidP="000B1BFB">
            <w:pPr>
              <w:jc w:val="center"/>
              <w:rPr>
                <w:rFonts w:ascii="Times New Roman" w:hAnsi="Times New Roman"/>
              </w:rPr>
            </w:pPr>
            <w:r w:rsidRPr="00DC2CC9">
              <w:rPr>
                <w:rFonts w:ascii="Times New Roman" w:hAnsi="Times New Roman" w:hint="eastAsia"/>
              </w:rPr>
              <w:t>125</w:t>
            </w:r>
          </w:p>
        </w:tc>
        <w:tc>
          <w:tcPr>
            <w:tcW w:w="1704" w:type="dxa"/>
            <w:vAlign w:val="center"/>
          </w:tcPr>
          <w:p w14:paraId="60A79072" w14:textId="77777777" w:rsidR="00C07AE1" w:rsidRPr="00DC2CC9" w:rsidRDefault="00C07AE1" w:rsidP="000B1BFB">
            <w:pPr>
              <w:jc w:val="center"/>
              <w:rPr>
                <w:rFonts w:ascii="Times New Roman" w:hAnsi="Times New Roman"/>
              </w:rPr>
            </w:pPr>
            <w:r w:rsidRPr="00DC2CC9">
              <w:rPr>
                <w:rFonts w:ascii="Times New Roman" w:hAnsi="Times New Roman" w:hint="eastAsia"/>
              </w:rPr>
              <w:t>220</w:t>
            </w:r>
            <w:r w:rsidRPr="00DC2CC9">
              <w:rPr>
                <w:rFonts w:ascii="Times New Roman" w:hAnsi="Times New Roman" w:hint="eastAsia"/>
              </w:rPr>
              <w:t>（</w:t>
            </w:r>
            <w:r w:rsidRPr="00DC2CC9">
              <w:rPr>
                <w:rFonts w:ascii="Times New Roman" w:hAnsi="Times New Roman" w:hint="eastAsia"/>
              </w:rPr>
              <w:t>310</w:t>
            </w:r>
            <w:r w:rsidRPr="00DC2CC9">
              <w:rPr>
                <w:rFonts w:ascii="Times New Roman" w:hAnsi="Times New Roman" w:hint="eastAsia"/>
              </w:rPr>
              <w:t>）</w:t>
            </w:r>
          </w:p>
        </w:tc>
        <w:tc>
          <w:tcPr>
            <w:tcW w:w="1705" w:type="dxa"/>
            <w:vAlign w:val="center"/>
          </w:tcPr>
          <w:p w14:paraId="175D506A" w14:textId="77777777" w:rsidR="00C07AE1" w:rsidRPr="00DC2CC9" w:rsidRDefault="00C07AE1" w:rsidP="000B1BFB">
            <w:pPr>
              <w:jc w:val="center"/>
              <w:rPr>
                <w:rFonts w:ascii="Times New Roman" w:hAnsi="Times New Roman"/>
              </w:rPr>
            </w:pPr>
            <w:r w:rsidRPr="00DC2CC9">
              <w:rPr>
                <w:rFonts w:ascii="Times New Roman" w:hAnsi="Times New Roman" w:hint="eastAsia"/>
              </w:rPr>
              <w:t>400</w:t>
            </w:r>
            <w:r w:rsidRPr="00DC2CC9">
              <w:rPr>
                <w:rFonts w:ascii="Times New Roman" w:hAnsi="Times New Roman" w:hint="eastAsia"/>
              </w:rPr>
              <w:t>（</w:t>
            </w:r>
            <w:r w:rsidRPr="00DC2CC9">
              <w:rPr>
                <w:rFonts w:ascii="Times New Roman" w:hAnsi="Times New Roman" w:hint="eastAsia"/>
              </w:rPr>
              <w:t>510</w:t>
            </w:r>
            <w:r w:rsidRPr="00DC2CC9">
              <w:rPr>
                <w:rFonts w:ascii="Times New Roman" w:hAnsi="Times New Roman" w:hint="eastAsia"/>
              </w:rPr>
              <w:t>）</w:t>
            </w:r>
          </w:p>
        </w:tc>
        <w:tc>
          <w:tcPr>
            <w:tcW w:w="1705" w:type="dxa"/>
            <w:vAlign w:val="center"/>
          </w:tcPr>
          <w:p w14:paraId="71E2B4AB" w14:textId="77777777" w:rsidR="00C07AE1" w:rsidRPr="00DC2CC9" w:rsidRDefault="00C07AE1" w:rsidP="000B1BFB">
            <w:pPr>
              <w:jc w:val="center"/>
              <w:rPr>
                <w:rFonts w:ascii="Times New Roman" w:hAnsi="Times New Roman"/>
              </w:rPr>
            </w:pPr>
            <w:r w:rsidRPr="00DC2CC9">
              <w:rPr>
                <w:rFonts w:ascii="Times New Roman" w:hAnsi="Times New Roman" w:hint="eastAsia"/>
              </w:rPr>
              <w:t>620</w:t>
            </w:r>
          </w:p>
        </w:tc>
      </w:tr>
      <w:tr w:rsidR="00C07AE1" w:rsidRPr="00DC2CC9" w14:paraId="058D79D3" w14:textId="77777777" w:rsidTr="000B1BFB">
        <w:trPr>
          <w:jc w:val="center"/>
        </w:trPr>
        <w:tc>
          <w:tcPr>
            <w:tcW w:w="1704" w:type="dxa"/>
            <w:vAlign w:val="center"/>
          </w:tcPr>
          <w:p w14:paraId="4640FE74" w14:textId="77777777" w:rsidR="00C07AE1" w:rsidRPr="00DC2CC9" w:rsidRDefault="00C07AE1" w:rsidP="000B1BFB">
            <w:pPr>
              <w:jc w:val="center"/>
              <w:rPr>
                <w:rFonts w:ascii="Times New Roman" w:hAnsi="Times New Roman"/>
              </w:rPr>
            </w:pPr>
            <w:r w:rsidRPr="00DC2CC9">
              <w:rPr>
                <w:rFonts w:ascii="Times New Roman" w:hAnsi="Times New Roman" w:hint="eastAsia"/>
              </w:rPr>
              <w:t>极罕遇地震</w:t>
            </w:r>
          </w:p>
        </w:tc>
        <w:tc>
          <w:tcPr>
            <w:tcW w:w="1704" w:type="dxa"/>
            <w:vAlign w:val="center"/>
          </w:tcPr>
          <w:p w14:paraId="466E8101" w14:textId="77777777" w:rsidR="00C07AE1" w:rsidRPr="00DC2CC9" w:rsidRDefault="00C07AE1" w:rsidP="000B1BFB">
            <w:pPr>
              <w:jc w:val="center"/>
              <w:rPr>
                <w:rFonts w:ascii="Times New Roman" w:hAnsi="Times New Roman"/>
              </w:rPr>
            </w:pPr>
            <w:r w:rsidRPr="00DC2CC9">
              <w:rPr>
                <w:rFonts w:ascii="Times New Roman" w:hAnsi="Times New Roman" w:hint="eastAsia"/>
              </w:rPr>
              <w:t>160</w:t>
            </w:r>
          </w:p>
        </w:tc>
        <w:tc>
          <w:tcPr>
            <w:tcW w:w="1704" w:type="dxa"/>
            <w:vAlign w:val="center"/>
          </w:tcPr>
          <w:p w14:paraId="1857ED8A" w14:textId="77777777" w:rsidR="00C07AE1" w:rsidRPr="00DC2CC9" w:rsidRDefault="00C07AE1" w:rsidP="000B1BFB">
            <w:pPr>
              <w:jc w:val="center"/>
              <w:rPr>
                <w:rFonts w:ascii="Times New Roman" w:hAnsi="Times New Roman"/>
              </w:rPr>
            </w:pPr>
            <w:r w:rsidRPr="00DC2CC9">
              <w:rPr>
                <w:rFonts w:ascii="Times New Roman" w:hAnsi="Times New Roman" w:hint="eastAsia"/>
              </w:rPr>
              <w:t>320</w:t>
            </w:r>
            <w:r w:rsidRPr="00DC2CC9">
              <w:rPr>
                <w:rFonts w:ascii="Times New Roman" w:hAnsi="Times New Roman" w:hint="eastAsia"/>
              </w:rPr>
              <w:t>（</w:t>
            </w:r>
            <w:r w:rsidRPr="00DC2CC9">
              <w:rPr>
                <w:rFonts w:ascii="Times New Roman" w:hAnsi="Times New Roman" w:hint="eastAsia"/>
              </w:rPr>
              <w:t>460</w:t>
            </w:r>
            <w:r w:rsidRPr="00DC2CC9">
              <w:rPr>
                <w:rFonts w:ascii="Times New Roman" w:hAnsi="Times New Roman" w:hint="eastAsia"/>
              </w:rPr>
              <w:t>）</w:t>
            </w:r>
          </w:p>
        </w:tc>
        <w:tc>
          <w:tcPr>
            <w:tcW w:w="1705" w:type="dxa"/>
            <w:vAlign w:val="center"/>
          </w:tcPr>
          <w:p w14:paraId="00408960" w14:textId="77777777" w:rsidR="00C07AE1" w:rsidRPr="00DC2CC9" w:rsidRDefault="00C07AE1" w:rsidP="000B1BFB">
            <w:pPr>
              <w:jc w:val="center"/>
              <w:rPr>
                <w:rFonts w:ascii="Times New Roman" w:hAnsi="Times New Roman"/>
              </w:rPr>
            </w:pPr>
            <w:r w:rsidRPr="00DC2CC9">
              <w:rPr>
                <w:rFonts w:ascii="Times New Roman" w:hAnsi="Times New Roman" w:hint="eastAsia"/>
              </w:rPr>
              <w:t>600</w:t>
            </w:r>
            <w:r w:rsidRPr="00DC2CC9">
              <w:rPr>
                <w:rFonts w:ascii="Times New Roman" w:hAnsi="Times New Roman" w:hint="eastAsia"/>
              </w:rPr>
              <w:t>（</w:t>
            </w:r>
            <w:r w:rsidRPr="00DC2CC9">
              <w:rPr>
                <w:rFonts w:ascii="Times New Roman" w:hAnsi="Times New Roman" w:hint="eastAsia"/>
              </w:rPr>
              <w:t>840</w:t>
            </w:r>
            <w:r w:rsidRPr="00DC2CC9">
              <w:rPr>
                <w:rFonts w:ascii="Times New Roman" w:hAnsi="Times New Roman" w:hint="eastAsia"/>
              </w:rPr>
              <w:t>）</w:t>
            </w:r>
          </w:p>
        </w:tc>
        <w:tc>
          <w:tcPr>
            <w:tcW w:w="1705" w:type="dxa"/>
            <w:vAlign w:val="center"/>
          </w:tcPr>
          <w:p w14:paraId="46E2CADE" w14:textId="77777777" w:rsidR="00C07AE1" w:rsidRPr="00DC2CC9" w:rsidRDefault="00C07AE1" w:rsidP="000B1BFB">
            <w:pPr>
              <w:jc w:val="center"/>
              <w:rPr>
                <w:rFonts w:ascii="Times New Roman" w:hAnsi="Times New Roman"/>
              </w:rPr>
            </w:pPr>
            <w:r w:rsidRPr="00DC2CC9">
              <w:rPr>
                <w:rFonts w:ascii="Times New Roman" w:hAnsi="Times New Roman" w:hint="eastAsia"/>
              </w:rPr>
              <w:t>1080</w:t>
            </w:r>
          </w:p>
        </w:tc>
      </w:tr>
      <w:tr w:rsidR="00C07AE1" w:rsidRPr="00DC2CC9" w14:paraId="23BACEEC" w14:textId="77777777" w:rsidTr="001F4DF0">
        <w:trPr>
          <w:trHeight w:val="438"/>
          <w:jc w:val="center"/>
        </w:trPr>
        <w:tc>
          <w:tcPr>
            <w:tcW w:w="8522" w:type="dxa"/>
            <w:gridSpan w:val="5"/>
            <w:vAlign w:val="center"/>
          </w:tcPr>
          <w:p w14:paraId="1F8746FB" w14:textId="77777777" w:rsidR="00C07AE1" w:rsidRPr="00DC2CC9" w:rsidRDefault="00C07AE1" w:rsidP="000B1BFB">
            <w:pPr>
              <w:ind w:firstLineChars="100" w:firstLine="210"/>
              <w:rPr>
                <w:rFonts w:ascii="Times New Roman" w:hAnsi="Times New Roman"/>
              </w:rPr>
            </w:pPr>
            <w:r w:rsidRPr="00DC2CC9">
              <w:rPr>
                <w:rFonts w:ascii="Times New Roman" w:hAnsi="Times New Roman" w:hint="eastAsia"/>
              </w:rPr>
              <w:t>注：括号中数值分别用于设计基本地震加速度为</w:t>
            </w:r>
            <w:r w:rsidRPr="00DC2CC9">
              <w:rPr>
                <w:rFonts w:ascii="Times New Roman" w:hAnsi="Times New Roman" w:hint="eastAsia"/>
              </w:rPr>
              <w:t>0.15 g</w:t>
            </w:r>
            <w:r w:rsidRPr="00DC2CC9">
              <w:rPr>
                <w:rFonts w:ascii="Times New Roman" w:hAnsi="Times New Roman" w:hint="eastAsia"/>
              </w:rPr>
              <w:t>和</w:t>
            </w:r>
            <w:r w:rsidRPr="00DC2CC9">
              <w:rPr>
                <w:rFonts w:ascii="Times New Roman" w:hAnsi="Times New Roman" w:hint="eastAsia"/>
              </w:rPr>
              <w:t>0.30 g</w:t>
            </w:r>
            <w:r w:rsidRPr="00DC2CC9">
              <w:rPr>
                <w:rFonts w:ascii="Times New Roman" w:hAnsi="Times New Roman" w:hint="eastAsia"/>
              </w:rPr>
              <w:t>的地区。</w:t>
            </w:r>
          </w:p>
        </w:tc>
      </w:tr>
    </w:tbl>
    <w:p w14:paraId="50A0EF01" w14:textId="77777777" w:rsidR="00C07AE1" w:rsidRPr="00DC2CC9" w:rsidRDefault="00C07AE1" w:rsidP="00C07AE1">
      <w:pPr>
        <w:pStyle w:val="afffffffff1"/>
        <w:rPr>
          <w:rFonts w:ascii="Times New Roman"/>
        </w:rPr>
      </w:pPr>
      <w:r w:rsidRPr="00DC2CC9">
        <w:rPr>
          <w:rFonts w:ascii="Times New Roman" w:hint="eastAsia"/>
        </w:rPr>
        <w:t>地震作用计算</w:t>
      </w:r>
    </w:p>
    <w:p w14:paraId="48FDC6D7" w14:textId="77777777" w:rsidR="00C07AE1" w:rsidRPr="00DC2CC9" w:rsidRDefault="00C07AE1" w:rsidP="00C07AE1">
      <w:pPr>
        <w:pStyle w:val="afffffffff0"/>
        <w:rPr>
          <w:rFonts w:ascii="Times New Roman"/>
        </w:rPr>
      </w:pPr>
      <w:r w:rsidRPr="00DC2CC9">
        <w:rPr>
          <w:rFonts w:ascii="Times New Roman" w:hint="eastAsia"/>
        </w:rPr>
        <w:t>采用底部剪力法时，隔震建筑上部结构的水平地震作用标准值应按下列规定计算：</w:t>
      </w:r>
    </w:p>
    <w:p w14:paraId="4AC1F8E7" w14:textId="56AB919D" w:rsidR="00C07AE1" w:rsidRPr="00DC2CC9" w:rsidRDefault="00C07AE1" w:rsidP="00F66216">
      <w:pPr>
        <w:pStyle w:val="af5"/>
        <w:numPr>
          <w:ilvl w:val="0"/>
          <w:numId w:val="43"/>
        </w:numPr>
        <w:rPr>
          <w:rFonts w:ascii="Times New Roman"/>
        </w:rPr>
      </w:pPr>
      <w:r w:rsidRPr="00DC2CC9">
        <w:rPr>
          <w:rFonts w:ascii="Times New Roman" w:hint="eastAsia"/>
        </w:rPr>
        <w:lastRenderedPageBreak/>
        <w:t>结构总水平地震作用标准值，应按下式确定：</w:t>
      </w:r>
    </w:p>
    <w:p w14:paraId="0E7684BF" w14:textId="77777777" w:rsidR="00C07AE1" w:rsidRPr="00DC2CC9" w:rsidRDefault="00C07AE1" w:rsidP="00C07AE1">
      <w:pPr>
        <w:spacing w:line="240" w:lineRule="atLeast"/>
        <w:ind w:firstLineChars="200" w:firstLine="420"/>
        <w:jc w:val="right"/>
        <w:rPr>
          <w:rFonts w:ascii="Times New Roman" w:hAnsi="Times New Roman"/>
        </w:rPr>
      </w:pPr>
      <m:oMath>
        <m:sSub>
          <m:sSubPr>
            <m:ctrlPr>
              <w:rPr>
                <w:rFonts w:ascii="Cambria Math" w:hAnsi="Cambria Math"/>
                <w:i/>
              </w:rPr>
            </m:ctrlPr>
          </m:sSubPr>
          <m:e>
            <m:r>
              <w:rPr>
                <w:rFonts w:ascii="Cambria Math" w:hAnsi="Cambria Math"/>
              </w:rPr>
              <m:t>F</m:t>
            </m:r>
          </m:e>
          <m:sub>
            <m:r>
              <w:rPr>
                <w:rFonts w:ascii="Cambria Math" w:hAnsi="Cambria Math"/>
              </w:rPr>
              <m:t>Ek</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G</m:t>
            </m:r>
          </m:e>
          <m:sub>
            <m:r>
              <w:rPr>
                <w:rFonts w:ascii="Cambria Math" w:hAnsi="Cambria Math"/>
              </w:rPr>
              <m:t>eq</m:t>
            </m:r>
          </m:sub>
        </m:sSub>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3</w:t>
      </w:r>
      <w:r w:rsidRPr="00DC2CC9">
        <w:rPr>
          <w:rFonts w:ascii="Times New Roman" w:hAnsi="Times New Roman" w:hint="eastAsia"/>
        </w:rPr>
        <w:t>）</w:t>
      </w:r>
    </w:p>
    <w:p w14:paraId="73CF4A28" w14:textId="77777777" w:rsidR="00C07AE1" w:rsidRPr="00DC2CC9" w:rsidRDefault="00C07AE1" w:rsidP="00C07AE1">
      <w:pPr>
        <w:ind w:leftChars="200" w:left="420" w:firstLineChars="200" w:firstLine="420"/>
        <w:rPr>
          <w:rFonts w:ascii="Times New Roman" w:hAnsi="Times New Roman"/>
        </w:rPr>
      </w:pPr>
      <w:r w:rsidRPr="00DC2CC9">
        <w:rPr>
          <w:rFonts w:ascii="Times New Roman" w:hAnsi="Times New Roman" w:hint="eastAsia"/>
        </w:rPr>
        <w:t>式中：</w:t>
      </w:r>
    </w:p>
    <w:p w14:paraId="725CD844" w14:textId="77777777" w:rsidR="00C07AE1" w:rsidRPr="00DC2CC9" w:rsidRDefault="00C07AE1" w:rsidP="00C07AE1">
      <w:pPr>
        <w:ind w:leftChars="400" w:left="1155" w:hangingChars="150" w:hanging="315"/>
        <w:rPr>
          <w:rFonts w:ascii="Times New Roman" w:hAnsi="Times New Roman"/>
        </w:rPr>
      </w:pPr>
      <w:r w:rsidRPr="00DC2CC9">
        <w:rPr>
          <w:rFonts w:ascii="Times New Roman" w:hAnsi="Times New Roman" w:hint="eastAsia"/>
        </w:rPr>
        <w:t>F</w:t>
      </w:r>
      <w:r w:rsidRPr="00DC2CC9">
        <w:rPr>
          <w:rFonts w:ascii="Times New Roman" w:hAnsi="Times New Roman" w:hint="eastAsia"/>
          <w:vertAlign w:val="subscript"/>
        </w:rPr>
        <w:t>Ek</w:t>
      </w:r>
      <w:r w:rsidRPr="00DC2CC9">
        <w:rPr>
          <w:rFonts w:ascii="Times New Roman" w:hAnsi="Times New Roman" w:hint="eastAsia"/>
        </w:rPr>
        <w:t>——结构总水平地震作用标准值，单位为牛顿（</w:t>
      </w:r>
      <w:r w:rsidRPr="00DC2CC9">
        <w:rPr>
          <w:rFonts w:ascii="Times New Roman" w:hAnsi="Times New Roman" w:hint="eastAsia"/>
        </w:rPr>
        <w:t>N</w:t>
      </w:r>
      <w:r w:rsidRPr="00DC2CC9">
        <w:rPr>
          <w:rFonts w:ascii="Times New Roman" w:hAnsi="Times New Roman" w:hint="eastAsia"/>
        </w:rPr>
        <w:t>）；</w:t>
      </w:r>
    </w:p>
    <w:p w14:paraId="6EE18CBB" w14:textId="5F917777" w:rsidR="00C07AE1" w:rsidRPr="00DC2CC9" w:rsidRDefault="00C07AE1" w:rsidP="00C07AE1">
      <w:pPr>
        <w:ind w:leftChars="400" w:left="1575" w:hangingChars="350" w:hanging="735"/>
        <w:rPr>
          <w:rFonts w:ascii="Times New Roman" w:hAnsi="Times New Roman"/>
        </w:rPr>
      </w:pPr>
      <w:r w:rsidRPr="00DC2CC9">
        <w:rPr>
          <w:rFonts w:ascii="Times New Roman" w:hAnsi="Times New Roman" w:hint="eastAsia"/>
        </w:rPr>
        <w:t>α</w:t>
      </w:r>
      <w:r w:rsidRPr="00DC2CC9">
        <w:rPr>
          <w:rFonts w:ascii="Times New Roman" w:hAnsi="Times New Roman" w:hint="eastAsia"/>
          <w:vertAlign w:val="subscript"/>
        </w:rPr>
        <w:t>1</w:t>
      </w:r>
      <w:r w:rsidRPr="00DC2CC9">
        <w:rPr>
          <w:rFonts w:ascii="Times New Roman" w:hAnsi="Times New Roman" w:hint="eastAsia"/>
        </w:rPr>
        <w:t>——相应于隔震结构基本周期设防地震时的水平地震影响系数；应按本导则第</w:t>
      </w:r>
      <w:r w:rsidR="00571C5D">
        <w:rPr>
          <w:rFonts w:ascii="Times New Roman" w:hAnsi="Times New Roman" w:hint="eastAsia"/>
        </w:rPr>
        <w:t>5</w:t>
      </w:r>
      <w:r w:rsidRPr="00DC2CC9">
        <w:rPr>
          <w:rFonts w:ascii="Times New Roman" w:hAnsi="Times New Roman" w:hint="eastAsia"/>
        </w:rPr>
        <w:t>.2.5.1</w:t>
      </w:r>
      <w:r w:rsidRPr="00DC2CC9">
        <w:rPr>
          <w:rFonts w:ascii="Times New Roman" w:hAnsi="Times New Roman" w:hint="eastAsia"/>
        </w:rPr>
        <w:t>条、第</w:t>
      </w:r>
      <w:r w:rsidR="00571C5D">
        <w:rPr>
          <w:rFonts w:ascii="Times New Roman" w:hAnsi="Times New Roman" w:hint="eastAsia"/>
        </w:rPr>
        <w:t>5</w:t>
      </w:r>
      <w:r w:rsidRPr="00DC2CC9">
        <w:rPr>
          <w:rFonts w:ascii="Times New Roman" w:hAnsi="Times New Roman" w:hint="eastAsia"/>
        </w:rPr>
        <w:t>.2.5.2</w:t>
      </w:r>
      <w:r w:rsidRPr="00DC2CC9">
        <w:rPr>
          <w:rFonts w:ascii="Times New Roman" w:hAnsi="Times New Roman" w:hint="eastAsia"/>
        </w:rPr>
        <w:t>条计算确定；其中计算隔震结构基本周期时其刚度可取隔震层等效刚度，阻尼比可取隔震层等效阻尼比；</w:t>
      </w:r>
    </w:p>
    <w:p w14:paraId="5DE0CEA7" w14:textId="77777777" w:rsidR="00C07AE1" w:rsidRPr="00DC2CC9" w:rsidRDefault="00C07AE1" w:rsidP="00C07AE1">
      <w:pPr>
        <w:ind w:leftChars="400" w:left="1155" w:hangingChars="150" w:hanging="315"/>
        <w:rPr>
          <w:rFonts w:ascii="Times New Roman" w:hAnsi="Times New Roman"/>
        </w:rPr>
      </w:pPr>
      <w:r w:rsidRPr="00DC2CC9">
        <w:rPr>
          <w:rFonts w:ascii="Times New Roman" w:hAnsi="Times New Roman" w:hint="eastAsia"/>
        </w:rPr>
        <w:t>G</w:t>
      </w:r>
      <w:r w:rsidRPr="00DC2CC9">
        <w:rPr>
          <w:rFonts w:ascii="Times New Roman" w:hAnsi="Times New Roman" w:hint="eastAsia"/>
          <w:vertAlign w:val="subscript"/>
        </w:rPr>
        <w:t>eq</w:t>
      </w:r>
      <w:r w:rsidRPr="00DC2CC9">
        <w:rPr>
          <w:rFonts w:ascii="Times New Roman" w:hAnsi="Times New Roman" w:hint="eastAsia"/>
        </w:rPr>
        <w:t>——上部结构等效总重力荷载，单位为牛顿（</w:t>
      </w:r>
      <w:r w:rsidRPr="00DC2CC9">
        <w:rPr>
          <w:rFonts w:ascii="Times New Roman" w:hAnsi="Times New Roman" w:hint="eastAsia"/>
        </w:rPr>
        <w:t>N</w:t>
      </w:r>
      <w:r w:rsidRPr="00DC2CC9">
        <w:rPr>
          <w:rFonts w:ascii="Times New Roman" w:hAnsi="Times New Roman" w:hint="eastAsia"/>
        </w:rPr>
        <w:t>）。</w:t>
      </w:r>
    </w:p>
    <w:p w14:paraId="1464CC17" w14:textId="561052B3" w:rsidR="00C07AE1" w:rsidRPr="00DC2CC9" w:rsidRDefault="00C07AE1" w:rsidP="00F66216">
      <w:pPr>
        <w:pStyle w:val="af5"/>
        <w:rPr>
          <w:rFonts w:ascii="Times New Roman"/>
        </w:rPr>
      </w:pPr>
      <w:r w:rsidRPr="00DC2CC9">
        <w:rPr>
          <w:rFonts w:ascii="Times New Roman" w:hint="eastAsia"/>
        </w:rPr>
        <w:t>质点</w:t>
      </w:r>
      <w:r w:rsidRPr="00DC2CC9">
        <w:rPr>
          <w:rFonts w:ascii="Times New Roman" w:hint="eastAsia"/>
        </w:rPr>
        <w:t>i</w:t>
      </w:r>
      <w:r w:rsidRPr="00DC2CC9">
        <w:rPr>
          <w:rFonts w:ascii="Times New Roman" w:hint="eastAsia"/>
        </w:rPr>
        <w:t>的水平地震作用标准值可按下式确定：</w:t>
      </w:r>
    </w:p>
    <w:p w14:paraId="79F645A6" w14:textId="77777777" w:rsidR="00C07AE1" w:rsidRPr="00DC2CC9" w:rsidRDefault="00C07AE1" w:rsidP="00C07AE1">
      <w:pPr>
        <w:spacing w:line="240" w:lineRule="atLeast"/>
        <w:ind w:firstLineChars="200" w:firstLine="420"/>
        <w:jc w:val="right"/>
        <w:rPr>
          <w:rFonts w:ascii="Times New Roman" w:hAnsi="Times New Roman"/>
        </w:rPr>
      </w:pPr>
      <m:oMath>
        <m:sSub>
          <m:sSubPr>
            <m:ctrlPr>
              <w:rPr>
                <w:rFonts w:ascii="Cambria Math" w:hAnsi="Cambria Math"/>
                <w:i/>
              </w:rPr>
            </m:ctrlPr>
          </m:sSubPr>
          <m:e>
            <m:r>
              <w:rPr>
                <w:rFonts w:ascii="Cambria Math" w:hAnsi="Cambria Math"/>
              </w:rPr>
              <m:t>F</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G</m:t>
                </m:r>
              </m:e>
              <m:sub>
                <m:r>
                  <w:rPr>
                    <w:rFonts w:ascii="Cambria Math" w:hAnsi="Cambria Math"/>
                  </w:rPr>
                  <m:t>i</m:t>
                </m:r>
              </m:sub>
            </m:sSub>
          </m:num>
          <m:den>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G</m:t>
                    </m:r>
                  </m:e>
                  <m:sub>
                    <m:r>
                      <w:rPr>
                        <w:rFonts w:ascii="Cambria Math" w:hAnsi="Cambria Math"/>
                      </w:rPr>
                      <m:t>j</m:t>
                    </m:r>
                  </m:sub>
                </m:sSub>
              </m:e>
            </m:nary>
          </m:den>
        </m:f>
        <m:sSub>
          <m:sSubPr>
            <m:ctrlPr>
              <w:rPr>
                <w:rFonts w:ascii="Cambria Math" w:hAnsi="Cambria Math"/>
                <w:i/>
              </w:rPr>
            </m:ctrlPr>
          </m:sSubPr>
          <m:e>
            <m:r>
              <w:rPr>
                <w:rFonts w:ascii="Cambria Math" w:hAnsi="Cambria Math"/>
              </w:rPr>
              <m:t>F</m:t>
            </m:r>
          </m:e>
          <m:sub>
            <m:r>
              <w:rPr>
                <w:rFonts w:ascii="Cambria Math" w:hAnsi="Cambria Math"/>
              </w:rPr>
              <m:t>Ek</m:t>
            </m:r>
          </m:sub>
        </m:sSub>
        <m:r>
          <w:rPr>
            <w:rFonts w:ascii="Cambria Math" w:hAnsi="Cambria Math"/>
          </w:rPr>
          <m:t xml:space="preserve">      </m:t>
        </m:r>
        <m:r>
          <w:rPr>
            <w:rFonts w:ascii="Cambria Math" w:hAnsi="Cambria Math" w:hint="eastAsia"/>
          </w:rPr>
          <m:t>（</m:t>
        </m:r>
        <m:r>
          <w:rPr>
            <w:rFonts w:ascii="Cambria Math" w:hAnsi="Cambria Math"/>
          </w:rPr>
          <m:t>i=1,2</m:t>
        </m:r>
        <m:r>
          <w:rPr>
            <w:rFonts w:ascii="Cambria Math" w:hAnsi="Cambria Math" w:hint="eastAsia"/>
          </w:rPr>
          <m:t>，···</m:t>
        </m:r>
        <m:r>
          <w:rPr>
            <w:rFonts w:ascii="Cambria Math" w:hAnsi="Cambria Math"/>
          </w:rPr>
          <m:t>,n</m:t>
        </m:r>
        <m:r>
          <w:rPr>
            <w:rFonts w:ascii="Cambria Math" w:hAnsi="Cambria Math" w:hint="eastAsia"/>
          </w:rPr>
          <m:t>）</m:t>
        </m:r>
        <m:r>
          <w:rPr>
            <w:rFonts w:ascii="Cambria Math" w:hAnsi="Cambria Math"/>
          </w:rPr>
          <m:t xml:space="preserve">  </m:t>
        </m:r>
      </m:oMath>
      <w:r w:rsidRPr="00DC2CC9">
        <w:rPr>
          <w:rFonts w:ascii="Times New Roman" w:hAnsi="Times New Roman" w:hint="eastAsia"/>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4</w:t>
      </w:r>
      <w:r w:rsidRPr="00DC2CC9">
        <w:rPr>
          <w:rFonts w:ascii="Times New Roman" w:hAnsi="Times New Roman" w:hint="eastAsia"/>
        </w:rPr>
        <w:t>）</w:t>
      </w:r>
    </w:p>
    <w:p w14:paraId="77DAF374" w14:textId="77777777" w:rsidR="00C07AE1" w:rsidRPr="00DC2CC9" w:rsidRDefault="00C07AE1" w:rsidP="00C07AE1">
      <w:pPr>
        <w:ind w:firstLineChars="400" w:firstLine="840"/>
        <w:rPr>
          <w:rFonts w:ascii="Times New Roman" w:hAnsi="Times New Roman"/>
        </w:rPr>
      </w:pPr>
      <w:r w:rsidRPr="00DC2CC9">
        <w:rPr>
          <w:rFonts w:ascii="Times New Roman" w:hAnsi="Times New Roman" w:hint="eastAsia"/>
        </w:rPr>
        <w:t>式中：</w:t>
      </w:r>
    </w:p>
    <w:p w14:paraId="25BA969D" w14:textId="77777777" w:rsidR="00C07AE1" w:rsidRPr="00DC2CC9" w:rsidRDefault="00C07AE1" w:rsidP="00C07AE1">
      <w:pPr>
        <w:ind w:firstLineChars="600" w:firstLine="1260"/>
        <w:rPr>
          <w:rFonts w:ascii="Times New Roman" w:hAnsi="Times New Roman"/>
        </w:rPr>
      </w:pPr>
      <w:r w:rsidRPr="00DC2CC9">
        <w:rPr>
          <w:rFonts w:ascii="Times New Roman" w:hAnsi="Times New Roman" w:hint="eastAsia"/>
        </w:rPr>
        <w:t>F</w:t>
      </w:r>
      <w:r w:rsidRPr="00DC2CC9">
        <w:rPr>
          <w:rFonts w:ascii="Times New Roman" w:hAnsi="Times New Roman" w:hint="eastAsia"/>
          <w:vertAlign w:val="subscript"/>
        </w:rPr>
        <w:t>i</w:t>
      </w:r>
      <w:r w:rsidRPr="00DC2CC9">
        <w:rPr>
          <w:rFonts w:ascii="Times New Roman" w:hAnsi="Times New Roman" w:hint="eastAsia"/>
        </w:rPr>
        <w:t>——质点</w:t>
      </w:r>
      <w:r w:rsidRPr="00DC2CC9">
        <w:rPr>
          <w:rFonts w:ascii="Times New Roman" w:hAnsi="Times New Roman" w:hint="eastAsia"/>
        </w:rPr>
        <w:t>i</w:t>
      </w:r>
      <w:r w:rsidRPr="00DC2CC9">
        <w:rPr>
          <w:rFonts w:ascii="Times New Roman" w:hAnsi="Times New Roman" w:hint="eastAsia"/>
        </w:rPr>
        <w:t>的水平地震作用标准值，单位为牛顿（</w:t>
      </w:r>
      <w:r w:rsidRPr="00DC2CC9">
        <w:rPr>
          <w:rFonts w:ascii="Times New Roman" w:hAnsi="Times New Roman" w:hint="eastAsia"/>
        </w:rPr>
        <w:t>N</w:t>
      </w:r>
      <w:r w:rsidRPr="00DC2CC9">
        <w:rPr>
          <w:rFonts w:ascii="Times New Roman" w:hAnsi="Times New Roman" w:hint="eastAsia"/>
        </w:rPr>
        <w:t>）；</w:t>
      </w:r>
    </w:p>
    <w:p w14:paraId="0230C70D" w14:textId="77777777" w:rsidR="00C07AE1" w:rsidRPr="00DC2CC9" w:rsidRDefault="00C07AE1" w:rsidP="00C07AE1">
      <w:pPr>
        <w:ind w:firstLineChars="400" w:firstLine="840"/>
        <w:rPr>
          <w:rFonts w:ascii="Times New Roman" w:hAnsi="Times New Roman"/>
        </w:rPr>
      </w:pPr>
      <w:r w:rsidRPr="00DC2CC9">
        <w:rPr>
          <w:rFonts w:ascii="Times New Roman" w:hAnsi="Times New Roman" w:hint="eastAsia"/>
        </w:rPr>
        <w:t>G</w:t>
      </w:r>
      <w:r w:rsidRPr="00DC2CC9">
        <w:rPr>
          <w:rFonts w:ascii="Times New Roman" w:hAnsi="Times New Roman" w:hint="eastAsia"/>
          <w:vertAlign w:val="subscript"/>
        </w:rPr>
        <w:t>i</w:t>
      </w:r>
      <w:r w:rsidRPr="00DC2CC9">
        <w:rPr>
          <w:rFonts w:ascii="Times New Roman" w:hAnsi="Times New Roman" w:hint="eastAsia"/>
        </w:rPr>
        <w:t>，</w:t>
      </w:r>
      <w:r w:rsidRPr="00DC2CC9">
        <w:rPr>
          <w:rFonts w:ascii="Times New Roman" w:hAnsi="Times New Roman" w:hint="eastAsia"/>
        </w:rPr>
        <w:t>G</w:t>
      </w:r>
      <w:r w:rsidRPr="00DC2CC9">
        <w:rPr>
          <w:rFonts w:ascii="Times New Roman" w:hAnsi="Times New Roman" w:hint="eastAsia"/>
          <w:vertAlign w:val="subscript"/>
        </w:rPr>
        <w:t>j</w:t>
      </w:r>
      <w:r w:rsidRPr="00DC2CC9">
        <w:rPr>
          <w:rFonts w:ascii="Times New Roman" w:hAnsi="Times New Roman" w:hint="eastAsia"/>
        </w:rPr>
        <w:t>——分别几种于第</w:t>
      </w:r>
      <w:r w:rsidRPr="00DC2CC9">
        <w:rPr>
          <w:rFonts w:ascii="Times New Roman" w:hAnsi="Times New Roman" w:hint="eastAsia"/>
        </w:rPr>
        <w:t>i</w:t>
      </w:r>
      <w:r w:rsidRPr="00DC2CC9">
        <w:rPr>
          <w:rFonts w:ascii="Times New Roman" w:hAnsi="Times New Roman" w:hint="eastAsia"/>
        </w:rPr>
        <w:t>，</w:t>
      </w:r>
      <w:r w:rsidRPr="00DC2CC9">
        <w:rPr>
          <w:rFonts w:ascii="Times New Roman" w:hAnsi="Times New Roman" w:hint="eastAsia"/>
        </w:rPr>
        <w:t>j</w:t>
      </w:r>
      <w:r w:rsidRPr="00DC2CC9">
        <w:rPr>
          <w:rFonts w:ascii="Times New Roman" w:hAnsi="Times New Roman" w:hint="eastAsia"/>
        </w:rPr>
        <w:t>质点中立荷载代表值，单位为牛顿（</w:t>
      </w:r>
      <w:r w:rsidRPr="00DC2CC9">
        <w:rPr>
          <w:rFonts w:ascii="Times New Roman" w:hAnsi="Times New Roman" w:hint="eastAsia"/>
        </w:rPr>
        <w:t>N</w:t>
      </w:r>
      <w:r w:rsidRPr="00DC2CC9">
        <w:rPr>
          <w:rFonts w:ascii="Times New Roman" w:hAnsi="Times New Roman" w:hint="eastAsia"/>
        </w:rPr>
        <w:t>）。</w:t>
      </w:r>
    </w:p>
    <w:p w14:paraId="2450F22D" w14:textId="77777777" w:rsidR="00C07AE1" w:rsidRPr="00DC2CC9" w:rsidRDefault="00C07AE1" w:rsidP="00C07AE1">
      <w:pPr>
        <w:pStyle w:val="afffffffff0"/>
        <w:rPr>
          <w:rFonts w:ascii="Times New Roman"/>
        </w:rPr>
      </w:pPr>
      <w:r w:rsidRPr="00DC2CC9">
        <w:rPr>
          <w:rFonts w:ascii="Times New Roman" w:hint="eastAsia"/>
        </w:rPr>
        <w:t>采用振型分解反应谱法时，应将下部结构、隔震层及上部结构进行整体分析，其中隔震层的非线性可按等效线性化的迭代方式考虑。并应计算其地震作用和作用效应，且应符合下列规定：</w:t>
      </w:r>
    </w:p>
    <w:p w14:paraId="50676185" w14:textId="431A4193" w:rsidR="00C07AE1" w:rsidRPr="00DC2CC9" w:rsidRDefault="00C07AE1" w:rsidP="00A97CE1">
      <w:pPr>
        <w:pStyle w:val="af5"/>
        <w:numPr>
          <w:ilvl w:val="0"/>
          <w:numId w:val="44"/>
        </w:numPr>
        <w:rPr>
          <w:rFonts w:ascii="Times New Roman"/>
        </w:rPr>
      </w:pPr>
      <w:r w:rsidRPr="00DC2CC9">
        <w:rPr>
          <w:rFonts w:ascii="Times New Roman" w:hint="eastAsia"/>
        </w:rPr>
        <w:t>对不进行扭转耦联计算的隔震结构，应按下列规定计算其地震作用和作用效应：</w:t>
      </w:r>
    </w:p>
    <w:p w14:paraId="29150C80" w14:textId="7029BEE7" w:rsidR="00C07AE1" w:rsidRPr="00DC2CC9" w:rsidRDefault="00C07AE1" w:rsidP="00A97CE1">
      <w:pPr>
        <w:pStyle w:val="af6"/>
        <w:rPr>
          <w:rFonts w:ascii="Times New Roman"/>
        </w:rPr>
      </w:pPr>
      <w:r w:rsidRPr="00DC2CC9">
        <w:rPr>
          <w:rFonts w:ascii="Times New Roman" w:hint="eastAsia"/>
        </w:rPr>
        <w:t>结构</w:t>
      </w:r>
      <w:r w:rsidRPr="00DC2CC9">
        <w:rPr>
          <w:rFonts w:ascii="Times New Roman" w:hint="eastAsia"/>
        </w:rPr>
        <w:t>j</w:t>
      </w:r>
      <w:r w:rsidRPr="00DC2CC9">
        <w:rPr>
          <w:rFonts w:ascii="Times New Roman" w:hint="eastAsia"/>
        </w:rPr>
        <w:t>振型</w:t>
      </w:r>
      <w:r w:rsidRPr="00DC2CC9">
        <w:rPr>
          <w:rFonts w:ascii="Times New Roman" w:hint="eastAsia"/>
        </w:rPr>
        <w:t>i</w:t>
      </w:r>
      <w:r w:rsidRPr="00DC2CC9">
        <w:rPr>
          <w:rFonts w:ascii="Times New Roman" w:hint="eastAsia"/>
        </w:rPr>
        <w:t>质点的水平地震作用标准值应按下式确定：</w:t>
      </w:r>
    </w:p>
    <w:p w14:paraId="278D5488" w14:textId="77777777" w:rsidR="00C07AE1" w:rsidRPr="00DC2CC9" w:rsidRDefault="00C07AE1" w:rsidP="00C07AE1">
      <w:pPr>
        <w:spacing w:line="240" w:lineRule="atLeast"/>
        <w:ind w:leftChars="350" w:left="735"/>
        <w:jc w:val="right"/>
        <w:rPr>
          <w:rFonts w:ascii="Times New Roman" w:hAnsi="Times New Roman"/>
        </w:rPr>
      </w:pPr>
      <m:oMath>
        <m:sSub>
          <m:sSubPr>
            <m:ctrlPr>
              <w:rPr>
                <w:rFonts w:ascii="Cambria Math" w:hAnsi="Cambria Math"/>
                <w:i/>
              </w:rPr>
            </m:ctrlPr>
          </m:sSubPr>
          <m:e>
            <m:r>
              <w:rPr>
                <w:rFonts w:ascii="Cambria Math" w:hAnsi="Cambria Math"/>
              </w:rPr>
              <m:t>F</m:t>
            </m:r>
          </m:e>
          <m:sub>
            <m:r>
              <w:rPr>
                <w:rFonts w:ascii="Cambria Math" w:hAnsi="Cambria Math"/>
              </w:rPr>
              <m:t>ji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j</m:t>
            </m:r>
          </m:sub>
        </m:sSub>
        <m:sSub>
          <m:sSubPr>
            <m:ctrlPr>
              <w:rPr>
                <w:rFonts w:ascii="Cambria Math" w:hAnsi="Cambria Math"/>
                <w:i/>
              </w:rPr>
            </m:ctrlPr>
          </m:sSubPr>
          <m:e>
            <m:r>
              <w:rPr>
                <w:rFonts w:ascii="Cambria Math" w:hAnsi="Cambria Math"/>
              </w:rPr>
              <m:t>γ</m:t>
            </m:r>
          </m:e>
          <m:sub>
            <m:r>
              <w:rPr>
                <w:rFonts w:ascii="Cambria Math" w:hAnsi="Cambria Math"/>
              </w:rPr>
              <m:t>j</m:t>
            </m:r>
          </m:sub>
        </m:sSub>
        <m:sSub>
          <m:sSubPr>
            <m:ctrlPr>
              <w:rPr>
                <w:rFonts w:ascii="Cambria Math" w:hAnsi="Cambria Math"/>
                <w:i/>
              </w:rPr>
            </m:ctrlPr>
          </m:sSubPr>
          <m:e>
            <m:r>
              <w:rPr>
                <w:rFonts w:ascii="Cambria Math" w:hAnsi="Cambria Math"/>
              </w:rPr>
              <m:t>X</m:t>
            </m:r>
          </m:e>
          <m:sub>
            <m:r>
              <w:rPr>
                <w:rFonts w:ascii="Cambria Math" w:hAnsi="Cambria Math"/>
              </w:rPr>
              <m:t>ji</m:t>
            </m:r>
          </m:sub>
        </m:sSub>
        <m:sSub>
          <m:sSubPr>
            <m:ctrlPr>
              <w:rPr>
                <w:rFonts w:ascii="Cambria Math" w:hAnsi="Cambria Math"/>
                <w:i/>
              </w:rPr>
            </m:ctrlPr>
          </m:sSubPr>
          <m:e>
            <m:r>
              <w:rPr>
                <w:rFonts w:ascii="Cambria Math" w:hAnsi="Cambria Math"/>
              </w:rPr>
              <m:t>G</m:t>
            </m:r>
          </m:e>
          <m:sub>
            <m:r>
              <w:rPr>
                <w:rFonts w:ascii="Cambria Math" w:hAnsi="Cambria Math"/>
              </w:rPr>
              <m:t>i</m:t>
            </m:r>
          </m:sub>
        </m:sSub>
        <m:r>
          <w:rPr>
            <w:rFonts w:ascii="Cambria Math" w:hAnsi="Cambria Math"/>
          </w:rPr>
          <m:t xml:space="preserve">         </m:t>
        </m:r>
        <m:r>
          <w:rPr>
            <w:rFonts w:ascii="Cambria Math" w:hAnsi="Cambria Math" w:hint="eastAsia"/>
          </w:rPr>
          <m:t>（</m:t>
        </m:r>
        <m:r>
          <w:rPr>
            <w:rFonts w:ascii="Cambria Math" w:hAnsi="Cambria Math"/>
          </w:rPr>
          <m:t>i=1,2,</m:t>
        </m:r>
        <m:r>
          <w:rPr>
            <w:rFonts w:ascii="Cambria Math" w:hAnsi="Cambria Math" w:hint="eastAsia"/>
          </w:rPr>
          <m:t>···</m:t>
        </m:r>
        <m:r>
          <w:rPr>
            <w:rFonts w:ascii="Cambria Math" w:hAnsi="Cambria Math"/>
          </w:rPr>
          <m:t>,n</m:t>
        </m:r>
        <m:r>
          <w:rPr>
            <w:rFonts w:ascii="Cambria Math" w:hAnsi="Cambria Math" w:hint="eastAsia"/>
          </w:rPr>
          <m:t>；</m:t>
        </m:r>
        <m:r>
          <w:rPr>
            <w:rFonts w:ascii="Cambria Math" w:hAnsi="Cambria Math"/>
          </w:rPr>
          <m:t>j=1,2,</m:t>
        </m:r>
        <m:r>
          <w:rPr>
            <w:rFonts w:ascii="Cambria Math" w:hAnsi="Cambria Math" w:hint="eastAsia"/>
          </w:rPr>
          <m:t>···</m:t>
        </m:r>
        <m:r>
          <w:rPr>
            <w:rFonts w:ascii="Cambria Math" w:hAnsi="Cambria Math"/>
          </w:rPr>
          <m:t>,m</m:t>
        </m:r>
        <m:r>
          <w:rPr>
            <w:rFonts w:ascii="Cambria Math" w:hAnsi="Cambria Math" w:hint="eastAsia"/>
          </w:rPr>
          <m:t>）</m:t>
        </m:r>
      </m:oMath>
      <w:r w:rsidRPr="00DC2CC9">
        <w:rPr>
          <w:rFonts w:ascii="Times New Roman" w:hAnsi="Times New Roman" w:hint="eastAsia"/>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5</w:t>
      </w:r>
      <w:r w:rsidRPr="00DC2CC9">
        <w:rPr>
          <w:rFonts w:ascii="Times New Roman" w:hAnsi="Times New Roman" w:hint="eastAsia"/>
        </w:rPr>
        <w:t>）</w:t>
      </w:r>
    </w:p>
    <w:p w14:paraId="73F0AA90" w14:textId="23AE2AB6" w:rsidR="00C07AE1" w:rsidRPr="00DC2CC9" w:rsidRDefault="00C07AE1" w:rsidP="00543C12">
      <w:pPr>
        <w:ind w:leftChars="1200" w:left="1200"/>
        <w:rPr>
          <w:rFonts w:ascii="Times New Roman" w:hAnsi="Times New Roman"/>
        </w:rPr>
      </w:pPr>
      <w:r w:rsidRPr="00DC2CC9">
        <w:rPr>
          <w:rFonts w:ascii="Times New Roman" w:hAnsi="Times New Roman" w:hint="eastAsia"/>
        </w:rPr>
        <w:t>式中：</w:t>
      </w:r>
    </w:p>
    <w:p w14:paraId="72CC4940" w14:textId="77777777" w:rsidR="00C07AE1" w:rsidRPr="00DC2CC9" w:rsidRDefault="00C07AE1" w:rsidP="00543C12">
      <w:pPr>
        <w:ind w:leftChars="1200" w:left="1200"/>
        <w:rPr>
          <w:rFonts w:ascii="Times New Roman" w:hAnsi="Times New Roman"/>
        </w:rPr>
      </w:pPr>
      <w:r w:rsidRPr="00DC2CC9">
        <w:rPr>
          <w:rFonts w:ascii="Times New Roman" w:hAnsi="Times New Roman"/>
        </w:rPr>
        <w:t>F</w:t>
      </w:r>
      <w:r w:rsidRPr="00DC2CC9">
        <w:rPr>
          <w:rFonts w:ascii="Times New Roman" w:hAnsi="Times New Roman"/>
          <w:vertAlign w:val="subscript"/>
        </w:rPr>
        <w:t>ji</w:t>
      </w:r>
      <w:r w:rsidRPr="00DC2CC9">
        <w:rPr>
          <w:rFonts w:ascii="Times New Roman" w:hAnsi="Times New Roman"/>
        </w:rPr>
        <w:t xml:space="preserve"> </w:t>
      </w:r>
      <w:r w:rsidRPr="00DC2CC9">
        <w:rPr>
          <w:rFonts w:ascii="Times New Roman" w:hAnsi="Times New Roman" w:hint="eastAsia"/>
        </w:rPr>
        <w:t xml:space="preserve"> </w:t>
      </w:r>
      <w:r w:rsidRPr="00DC2CC9">
        <w:rPr>
          <w:rFonts w:ascii="Times New Roman" w:hAnsi="Times New Roman" w:cs="宋体" w:hint="eastAsia"/>
        </w:rPr>
        <w:t>——</w:t>
      </w:r>
      <w:r w:rsidRPr="00DC2CC9">
        <w:rPr>
          <w:rFonts w:ascii="Times New Roman" w:hAnsi="Times New Roman" w:cs="宋体" w:hint="eastAsia"/>
        </w:rPr>
        <w:t xml:space="preserve"> </w:t>
      </w:r>
      <w:r w:rsidRPr="00DC2CC9">
        <w:rPr>
          <w:rFonts w:ascii="Times New Roman" w:hAnsi="Times New Roman"/>
        </w:rPr>
        <w:t>j</w:t>
      </w:r>
      <w:r w:rsidRPr="00DC2CC9">
        <w:rPr>
          <w:rFonts w:ascii="Times New Roman" w:hAnsi="Times New Roman"/>
        </w:rPr>
        <w:t>振型</w:t>
      </w:r>
      <w:r w:rsidRPr="00DC2CC9">
        <w:rPr>
          <w:rFonts w:ascii="Times New Roman" w:hAnsi="Times New Roman"/>
        </w:rPr>
        <w:t>i</w:t>
      </w:r>
      <w:r w:rsidRPr="00DC2CC9">
        <w:rPr>
          <w:rFonts w:ascii="Times New Roman" w:hAnsi="Times New Roman"/>
        </w:rPr>
        <w:t>质点的水平地震作用标准值</w:t>
      </w:r>
      <w:r w:rsidRPr="00DC2CC9">
        <w:rPr>
          <w:rFonts w:ascii="Times New Roman" w:hAnsi="Times New Roman" w:hint="eastAsia"/>
        </w:rPr>
        <w:t>，单位为牛顿（</w:t>
      </w:r>
      <w:r w:rsidRPr="00DC2CC9">
        <w:rPr>
          <w:rFonts w:ascii="Times New Roman" w:hAnsi="Times New Roman"/>
        </w:rPr>
        <w:t>N</w:t>
      </w:r>
      <w:r w:rsidRPr="00DC2CC9">
        <w:rPr>
          <w:rFonts w:ascii="Times New Roman" w:hAnsi="Times New Roman" w:hint="eastAsia"/>
        </w:rPr>
        <w:t>）；</w:t>
      </w:r>
    </w:p>
    <w:p w14:paraId="22230EAB" w14:textId="77777777" w:rsidR="00C07AE1" w:rsidRPr="00DC2CC9" w:rsidRDefault="00C07AE1" w:rsidP="00543C12">
      <w:pPr>
        <w:ind w:leftChars="1200" w:left="1200"/>
        <w:rPr>
          <w:rFonts w:ascii="Times New Roman" w:hAnsi="Times New Roman"/>
        </w:rPr>
      </w:pPr>
      <w:r w:rsidRPr="00DC2CC9">
        <w:rPr>
          <w:rFonts w:ascii="Times New Roman" w:hAnsi="Times New Roman" w:hint="eastAsia"/>
        </w:rPr>
        <w:t>α</w:t>
      </w:r>
      <w:r w:rsidRPr="00DC2CC9">
        <w:rPr>
          <w:rFonts w:ascii="Times New Roman" w:hAnsi="Times New Roman" w:hint="eastAsia"/>
          <w:vertAlign w:val="subscript"/>
        </w:rPr>
        <w:t xml:space="preserve">j </w:t>
      </w:r>
      <w:r w:rsidRPr="00DC2CC9">
        <w:rPr>
          <w:rFonts w:ascii="Times New Roman" w:hAnsi="Times New Roman" w:cs="宋体" w:hint="eastAsia"/>
          <w:vertAlign w:val="subscript"/>
        </w:rPr>
        <w:t xml:space="preserve"> </w:t>
      </w:r>
      <w:r w:rsidRPr="00DC2CC9">
        <w:rPr>
          <w:rFonts w:ascii="Times New Roman" w:hAnsi="Times New Roman" w:cs="宋体" w:hint="eastAsia"/>
        </w:rPr>
        <w:t>——</w:t>
      </w:r>
      <w:r w:rsidRPr="00DC2CC9">
        <w:rPr>
          <w:rFonts w:ascii="Times New Roman" w:hAnsi="Times New Roman" w:cs="宋体" w:hint="eastAsia"/>
        </w:rPr>
        <w:t xml:space="preserve"> </w:t>
      </w:r>
      <w:r w:rsidRPr="00DC2CC9">
        <w:rPr>
          <w:rFonts w:ascii="Times New Roman" w:hAnsi="Times New Roman"/>
        </w:rPr>
        <w:t>j</w:t>
      </w:r>
      <w:r w:rsidRPr="00DC2CC9">
        <w:rPr>
          <w:rFonts w:ascii="Times New Roman" w:hAnsi="Times New Roman"/>
        </w:rPr>
        <w:t>振型周期的地震影响系数，应按本标准</w:t>
      </w:r>
      <w:r w:rsidRPr="00DC2CC9">
        <w:rPr>
          <w:rFonts w:ascii="Times New Roman" w:hAnsi="Times New Roman" w:hint="eastAsia"/>
        </w:rPr>
        <w:t>第</w:t>
      </w:r>
      <w:r w:rsidRPr="00DC2CC9">
        <w:rPr>
          <w:rFonts w:ascii="Times New Roman" w:hAnsi="Times New Roman" w:hint="eastAsia"/>
        </w:rPr>
        <w:t>3.2.5.1</w:t>
      </w:r>
      <w:r w:rsidRPr="00DC2CC9">
        <w:rPr>
          <w:rFonts w:ascii="Times New Roman" w:hAnsi="Times New Roman" w:hint="eastAsia"/>
        </w:rPr>
        <w:t>条、第</w:t>
      </w:r>
      <w:r w:rsidRPr="00DC2CC9">
        <w:rPr>
          <w:rFonts w:ascii="Times New Roman" w:hAnsi="Times New Roman" w:hint="eastAsia"/>
        </w:rPr>
        <w:t>3.2.5.2</w:t>
      </w:r>
      <w:r w:rsidRPr="00DC2CC9">
        <w:rPr>
          <w:rFonts w:ascii="Times New Roman" w:hAnsi="Times New Roman" w:hint="eastAsia"/>
        </w:rPr>
        <w:t>条</w:t>
      </w:r>
      <w:r w:rsidRPr="00DC2CC9">
        <w:rPr>
          <w:rFonts w:ascii="Times New Roman" w:hAnsi="Times New Roman"/>
        </w:rPr>
        <w:t>确定；</w:t>
      </w:r>
    </w:p>
    <w:p w14:paraId="35F677AF" w14:textId="77777777" w:rsidR="00C07AE1" w:rsidRPr="00DC2CC9" w:rsidRDefault="00C07AE1" w:rsidP="00543C12">
      <w:pPr>
        <w:ind w:leftChars="1200" w:left="1200"/>
        <w:rPr>
          <w:rFonts w:ascii="Times New Roman" w:hAnsi="Times New Roman"/>
        </w:rPr>
      </w:pPr>
      <w:r w:rsidRPr="00DC2CC9">
        <w:rPr>
          <w:rFonts w:ascii="Times New Roman" w:hAnsi="Times New Roman"/>
        </w:rPr>
        <w:t>X</w:t>
      </w:r>
      <w:r w:rsidRPr="00DC2CC9">
        <w:rPr>
          <w:rFonts w:ascii="Times New Roman" w:hAnsi="Times New Roman"/>
          <w:vertAlign w:val="subscript"/>
        </w:rPr>
        <w:t>ji</w:t>
      </w:r>
      <w:r w:rsidRPr="00DC2CC9">
        <w:rPr>
          <w:rFonts w:ascii="Times New Roman" w:hAnsi="Times New Roman" w:hint="eastAsia"/>
          <w:vertAlign w:val="subscript"/>
        </w:rPr>
        <w:t xml:space="preserve">  </w:t>
      </w:r>
      <w:r w:rsidRPr="00DC2CC9">
        <w:rPr>
          <w:rFonts w:ascii="Times New Roman" w:hAnsi="Times New Roman" w:cs="宋体" w:hint="eastAsia"/>
        </w:rPr>
        <w:t>——</w:t>
      </w:r>
      <w:r w:rsidRPr="00DC2CC9">
        <w:rPr>
          <w:rFonts w:ascii="Times New Roman" w:hAnsi="Times New Roman" w:cs="宋体" w:hint="eastAsia"/>
        </w:rPr>
        <w:t xml:space="preserve"> </w:t>
      </w:r>
      <w:r w:rsidRPr="00DC2CC9">
        <w:rPr>
          <w:rFonts w:ascii="Times New Roman" w:hAnsi="Times New Roman"/>
        </w:rPr>
        <w:t>j</w:t>
      </w:r>
      <w:r w:rsidRPr="00DC2CC9">
        <w:rPr>
          <w:rFonts w:ascii="Times New Roman" w:hAnsi="Times New Roman"/>
        </w:rPr>
        <w:t>振型</w:t>
      </w:r>
      <w:r w:rsidRPr="00DC2CC9">
        <w:rPr>
          <w:rFonts w:ascii="Times New Roman" w:hAnsi="Times New Roman"/>
        </w:rPr>
        <w:t>i</w:t>
      </w:r>
      <w:r w:rsidRPr="00DC2CC9">
        <w:rPr>
          <w:rFonts w:ascii="Times New Roman" w:hAnsi="Times New Roman"/>
        </w:rPr>
        <w:t>质点的水平相对位移</w:t>
      </w:r>
      <w:r w:rsidRPr="00DC2CC9">
        <w:rPr>
          <w:rFonts w:ascii="Times New Roman" w:hAnsi="Times New Roman"/>
        </w:rPr>
        <w:t>(mm)</w:t>
      </w:r>
      <w:r w:rsidRPr="00DC2CC9">
        <w:rPr>
          <w:rFonts w:ascii="Times New Roman" w:hAnsi="Times New Roman" w:hint="eastAsia"/>
        </w:rPr>
        <w:t>；</w:t>
      </w:r>
    </w:p>
    <w:p w14:paraId="4B5A4BF1" w14:textId="77777777" w:rsidR="00C07AE1" w:rsidRPr="00DC2CC9" w:rsidRDefault="00C07AE1" w:rsidP="00543C12">
      <w:pPr>
        <w:ind w:leftChars="1200" w:left="1200"/>
        <w:rPr>
          <w:rFonts w:ascii="Times New Roman" w:hAnsi="Times New Roman"/>
        </w:rPr>
      </w:pPr>
      <w:r w:rsidRPr="00DC2CC9">
        <w:rPr>
          <w:rFonts w:ascii="Times New Roman" w:hAnsi="Times New Roman"/>
        </w:rPr>
        <w:t>Y</w:t>
      </w:r>
      <w:r w:rsidRPr="00DC2CC9">
        <w:rPr>
          <w:rFonts w:ascii="Times New Roman" w:hAnsi="Times New Roman" w:hint="eastAsia"/>
          <w:vertAlign w:val="subscript"/>
        </w:rPr>
        <w:t xml:space="preserve">j  </w:t>
      </w:r>
      <w:r w:rsidRPr="00DC2CC9">
        <w:rPr>
          <w:rFonts w:ascii="Times New Roman" w:hAnsi="Times New Roman" w:cs="宋体" w:hint="eastAsia"/>
        </w:rPr>
        <w:t>——</w:t>
      </w:r>
      <w:r w:rsidRPr="00DC2CC9">
        <w:rPr>
          <w:rFonts w:ascii="Times New Roman" w:hAnsi="Times New Roman" w:cs="宋体" w:hint="eastAsia"/>
        </w:rPr>
        <w:t xml:space="preserve"> </w:t>
      </w:r>
      <w:r w:rsidRPr="00DC2CC9">
        <w:rPr>
          <w:rFonts w:ascii="Times New Roman" w:hAnsi="Times New Roman"/>
        </w:rPr>
        <w:t>j</w:t>
      </w:r>
      <w:r w:rsidRPr="00DC2CC9">
        <w:rPr>
          <w:rFonts w:ascii="Times New Roman" w:hAnsi="Times New Roman"/>
        </w:rPr>
        <w:t>振型的参与系数。</w:t>
      </w:r>
    </w:p>
    <w:p w14:paraId="62202E72" w14:textId="06E861C7" w:rsidR="00C07AE1" w:rsidRPr="00DC2CC9" w:rsidRDefault="00C07AE1" w:rsidP="00A97CE1">
      <w:pPr>
        <w:pStyle w:val="af6"/>
        <w:rPr>
          <w:rFonts w:ascii="Times New Roman"/>
        </w:rPr>
      </w:pPr>
      <w:r w:rsidRPr="00DC2CC9">
        <w:rPr>
          <w:rFonts w:ascii="Times New Roman" w:hint="eastAsia"/>
        </w:rPr>
        <w:t>当相邻振型的周期比小于</w:t>
      </w:r>
      <w:r w:rsidRPr="00DC2CC9">
        <w:rPr>
          <w:rFonts w:ascii="Times New Roman" w:hint="eastAsia"/>
        </w:rPr>
        <w:t>0.85</w:t>
      </w:r>
      <w:r w:rsidRPr="00DC2CC9">
        <w:rPr>
          <w:rFonts w:ascii="Times New Roman" w:hint="eastAsia"/>
        </w:rPr>
        <w:t>时，水平地震作用标准值的效应可按下式确定：</w:t>
      </w:r>
    </w:p>
    <w:p w14:paraId="07A2B9B6" w14:textId="77777777" w:rsidR="00C07AE1" w:rsidRPr="00DC2CC9" w:rsidRDefault="00C07AE1" w:rsidP="00C07AE1">
      <w:pPr>
        <w:spacing w:line="240" w:lineRule="atLeast"/>
        <w:ind w:leftChars="350" w:left="735"/>
        <w:jc w:val="right"/>
        <w:rPr>
          <w:rFonts w:ascii="Times New Roman" w:hAnsi="Times New Roman"/>
        </w:rPr>
      </w:pPr>
      <m:oMath>
        <m:sSub>
          <m:sSubPr>
            <m:ctrlPr>
              <w:rPr>
                <w:rFonts w:ascii="Cambria Math" w:hAnsi="Cambria Math"/>
                <w:i/>
              </w:rPr>
            </m:ctrlPr>
          </m:sSubPr>
          <m:e>
            <m:r>
              <w:rPr>
                <w:rFonts w:ascii="Cambria Math" w:hAnsi="Cambria Math"/>
              </w:rPr>
              <m:t>S</m:t>
            </m:r>
          </m:e>
          <m:sub>
            <m:r>
              <w:rPr>
                <w:rFonts w:ascii="Cambria Math" w:hAnsi="Cambria Math"/>
              </w:rPr>
              <m:t>Ek</m:t>
            </m:r>
          </m:sub>
        </m:sSub>
        <m:r>
          <w:rPr>
            <w:rFonts w:ascii="Cambria Math" w:hAnsi="Cambria Math"/>
          </w:rPr>
          <m:t>=</m:t>
        </m:r>
        <m:rad>
          <m:radPr>
            <m:degHide m:val="1"/>
            <m:ctrlPr>
              <w:rPr>
                <w:rFonts w:ascii="Cambria Math" w:hAnsi="Cambria Math"/>
                <w:i/>
              </w:rPr>
            </m:ctrlPr>
          </m:radPr>
          <m:deg/>
          <m:e>
            <m:nary>
              <m:naryPr>
                <m:chr m:val="∑"/>
                <m:limLoc m:val="undOvr"/>
                <m:subHide m:val="1"/>
                <m:supHide m:val="1"/>
                <m:ctrlPr>
                  <w:rPr>
                    <w:rFonts w:ascii="Cambria Math" w:hAnsi="Cambria Math"/>
                    <w:i/>
                  </w:rPr>
                </m:ctrlPr>
              </m:naryPr>
              <m:sub/>
              <m:sup/>
              <m:e>
                <m:d>
                  <m:dPr>
                    <m:ctrlPr>
                      <w:rPr>
                        <w:rFonts w:ascii="Cambria Math" w:hAnsi="Cambria Math"/>
                        <w:i/>
                      </w:rPr>
                    </m:ctrlPr>
                  </m:dPr>
                  <m:e>
                    <m:r>
                      <w:rPr>
                        <w:rFonts w:ascii="Cambria Math" w:hAnsi="Cambria Math"/>
                      </w:rPr>
                      <m:t>1+</m:t>
                    </m:r>
                    <m:sSubSup>
                      <m:sSubSupPr>
                        <m:ctrlPr>
                          <w:rPr>
                            <w:rFonts w:ascii="Cambria Math" w:hAnsi="Cambria Math"/>
                            <w:i/>
                          </w:rPr>
                        </m:ctrlPr>
                      </m:sSubSupPr>
                      <m:e>
                        <m:r>
                          <w:rPr>
                            <w:rFonts w:ascii="Cambria Math" w:hAnsi="Cambria Math"/>
                          </w:rPr>
                          <m:t>ι</m:t>
                        </m:r>
                      </m:e>
                      <m:sub>
                        <m:r>
                          <w:rPr>
                            <w:rFonts w:ascii="Cambria Math" w:hAnsi="Cambria Math"/>
                          </w:rPr>
                          <m:t>j</m:t>
                        </m:r>
                      </m:sub>
                      <m:sup>
                        <m:r>
                          <w:rPr>
                            <w:rFonts w:ascii="Cambria Math" w:hAnsi="Cambria Math"/>
                          </w:rPr>
                          <m:t>2</m:t>
                        </m:r>
                      </m:sup>
                    </m:sSubSup>
                  </m:e>
                </m:d>
                <m:sSubSup>
                  <m:sSubSupPr>
                    <m:ctrlPr>
                      <w:rPr>
                        <w:rFonts w:ascii="Cambria Math" w:hAnsi="Cambria Math"/>
                        <w:i/>
                      </w:rPr>
                    </m:ctrlPr>
                  </m:sSubSupPr>
                  <m:e>
                    <m:r>
                      <w:rPr>
                        <w:rFonts w:ascii="Cambria Math" w:hAnsi="Cambria Math"/>
                      </w:rPr>
                      <m:t>S</m:t>
                    </m:r>
                  </m:e>
                  <m:sub>
                    <m:r>
                      <w:rPr>
                        <w:rFonts w:ascii="Cambria Math" w:hAnsi="Cambria Math"/>
                      </w:rPr>
                      <m:t>j</m:t>
                    </m:r>
                  </m:sub>
                  <m:sup>
                    <m:r>
                      <w:rPr>
                        <w:rFonts w:ascii="Cambria Math" w:hAnsi="Cambria Math"/>
                      </w:rPr>
                      <m:t>2</m:t>
                    </m:r>
                  </m:sup>
                </m:sSubSup>
              </m:e>
            </m:nary>
          </m:e>
        </m:rad>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6</w:t>
      </w:r>
      <w:r w:rsidRPr="00DC2CC9">
        <w:rPr>
          <w:rFonts w:ascii="Times New Roman" w:hAnsi="Times New Roman" w:hint="eastAsia"/>
        </w:rPr>
        <w:t>）</w:t>
      </w:r>
    </w:p>
    <w:p w14:paraId="08BB3CFC" w14:textId="77777777" w:rsidR="00C07AE1" w:rsidRPr="00DC2CC9" w:rsidRDefault="00C07AE1" w:rsidP="00543C12">
      <w:pPr>
        <w:ind w:leftChars="1200" w:left="1200"/>
        <w:rPr>
          <w:rFonts w:ascii="Times New Roman" w:hAnsi="Times New Roman"/>
        </w:rPr>
      </w:pPr>
      <w:r w:rsidRPr="00DC2CC9">
        <w:rPr>
          <w:rFonts w:ascii="Times New Roman" w:hAnsi="Times New Roman" w:hint="eastAsia"/>
        </w:rPr>
        <w:t>式中：</w:t>
      </w:r>
    </w:p>
    <w:p w14:paraId="121F3610" w14:textId="77777777" w:rsidR="00C07AE1" w:rsidRPr="00DC2CC9" w:rsidRDefault="00C07AE1" w:rsidP="00543C12">
      <w:pPr>
        <w:ind w:leftChars="1200" w:left="1200"/>
        <w:rPr>
          <w:rFonts w:ascii="Times New Roman" w:hAnsi="Times New Roman"/>
        </w:rPr>
      </w:pPr>
      <w:r w:rsidRPr="00DC2CC9">
        <w:rPr>
          <w:rFonts w:ascii="Times New Roman" w:hAnsi="Times New Roman" w:hint="eastAsia"/>
        </w:rPr>
        <w:t xml:space="preserve">SEk  </w:t>
      </w:r>
      <w:r w:rsidRPr="00DC2CC9">
        <w:rPr>
          <w:rFonts w:ascii="Times New Roman" w:hAnsi="Times New Roman" w:hint="eastAsia"/>
        </w:rPr>
        <w:t>——</w:t>
      </w:r>
      <w:r w:rsidRPr="00DC2CC9">
        <w:rPr>
          <w:rFonts w:ascii="Times New Roman" w:hAnsi="Times New Roman" w:hint="eastAsia"/>
        </w:rPr>
        <w:t xml:space="preserve"> </w:t>
      </w:r>
      <w:r w:rsidRPr="00DC2CC9">
        <w:rPr>
          <w:rFonts w:ascii="Times New Roman" w:hAnsi="Times New Roman" w:hint="eastAsia"/>
        </w:rPr>
        <w:t>水平地震作用标准值的效应，单位为牛顿（</w:t>
      </w:r>
      <w:r w:rsidRPr="00DC2CC9">
        <w:rPr>
          <w:rFonts w:ascii="Times New Roman" w:hAnsi="Times New Roman" w:hint="eastAsia"/>
        </w:rPr>
        <w:t>N</w:t>
      </w:r>
      <w:r w:rsidRPr="00DC2CC9">
        <w:rPr>
          <w:rFonts w:ascii="Times New Roman" w:hAnsi="Times New Roman" w:hint="eastAsia"/>
        </w:rPr>
        <w:t>）；</w:t>
      </w:r>
    </w:p>
    <w:p w14:paraId="5269C539" w14:textId="3B7E6119" w:rsidR="00C07AE1" w:rsidRPr="00DC2CC9" w:rsidRDefault="00C07AE1" w:rsidP="007A3B72">
      <w:pPr>
        <w:ind w:leftChars="1200" w:left="1200" w:firstLineChars="100" w:firstLine="210"/>
        <w:rPr>
          <w:rFonts w:ascii="Times New Roman" w:hAnsi="Times New Roman"/>
        </w:rPr>
      </w:pPr>
      <w:r w:rsidRPr="00DC2CC9">
        <w:rPr>
          <w:rFonts w:ascii="Times New Roman" w:hAnsi="Times New Roman" w:hint="eastAsia"/>
        </w:rPr>
        <w:t>S</w:t>
      </w:r>
      <w:r w:rsidRPr="00DC2CC9">
        <w:rPr>
          <w:rFonts w:ascii="Times New Roman" w:hAnsi="Times New Roman"/>
        </w:rPr>
        <w:t>j</w:t>
      </w:r>
      <w:r w:rsidRPr="00DC2CC9">
        <w:rPr>
          <w:rFonts w:ascii="Times New Roman" w:hAnsi="Times New Roman" w:hint="eastAsia"/>
        </w:rPr>
        <w:t xml:space="preserve">  </w:t>
      </w:r>
      <w:r w:rsidRPr="00DC2CC9">
        <w:rPr>
          <w:rFonts w:ascii="Times New Roman" w:hAnsi="Times New Roman" w:hint="eastAsia"/>
        </w:rPr>
        <w:t>——</w:t>
      </w:r>
      <w:r w:rsidRPr="00DC2CC9">
        <w:rPr>
          <w:rFonts w:ascii="Times New Roman" w:hAnsi="Times New Roman" w:hint="eastAsia"/>
        </w:rPr>
        <w:t xml:space="preserve"> </w:t>
      </w:r>
      <w:r w:rsidRPr="00DC2CC9">
        <w:rPr>
          <w:rFonts w:ascii="Times New Roman" w:hAnsi="Times New Roman" w:hint="eastAsia"/>
        </w:rPr>
        <w:t>第</w:t>
      </w:r>
      <w:r w:rsidRPr="00DC2CC9">
        <w:rPr>
          <w:rFonts w:ascii="Times New Roman" w:hAnsi="Times New Roman" w:hint="eastAsia"/>
        </w:rPr>
        <w:t>j</w:t>
      </w:r>
      <w:r w:rsidRPr="00DC2CC9">
        <w:rPr>
          <w:rFonts w:ascii="Times New Roman" w:hAnsi="Times New Roman" w:hint="eastAsia"/>
        </w:rPr>
        <w:t>振型水平地震作用标准值的效应，单位为牛顿（</w:t>
      </w:r>
      <w:r w:rsidRPr="00DC2CC9">
        <w:rPr>
          <w:rFonts w:ascii="Times New Roman" w:hAnsi="Times New Roman" w:hint="eastAsia"/>
        </w:rPr>
        <w:t>N</w:t>
      </w:r>
      <w:r w:rsidRPr="00DC2CC9">
        <w:rPr>
          <w:rFonts w:ascii="Times New Roman" w:hAnsi="Times New Roman" w:hint="eastAsia"/>
        </w:rPr>
        <w:t>）；</w:t>
      </w:r>
    </w:p>
    <w:p w14:paraId="3EC00B80" w14:textId="77777777" w:rsidR="00C07AE1" w:rsidRPr="00DC2CC9" w:rsidRDefault="00C07AE1" w:rsidP="00543C12">
      <w:pPr>
        <w:ind w:leftChars="1200" w:left="1200"/>
        <w:rPr>
          <w:rFonts w:ascii="Times New Roman" w:hAnsi="Times New Roman"/>
        </w:rPr>
      </w:pPr>
      <w:r w:rsidRPr="00DC2CC9">
        <w:rPr>
          <w:rFonts w:ascii="Times New Roman" w:hAnsi="Times New Roman" w:hint="eastAsia"/>
        </w:rPr>
        <w:t>ι</w:t>
      </w:r>
      <w:r w:rsidRPr="00DC2CC9">
        <w:rPr>
          <w:rFonts w:ascii="Times New Roman" w:hAnsi="Times New Roman" w:hint="eastAsia"/>
        </w:rPr>
        <w:t xml:space="preserve">j  </w:t>
      </w:r>
      <w:r w:rsidRPr="00DC2CC9">
        <w:rPr>
          <w:rFonts w:ascii="Times New Roman" w:hAnsi="Times New Roman" w:hint="eastAsia"/>
        </w:rPr>
        <w:t>——</w:t>
      </w:r>
      <w:r w:rsidRPr="00DC2CC9">
        <w:rPr>
          <w:rFonts w:ascii="Times New Roman" w:hAnsi="Times New Roman" w:hint="eastAsia"/>
        </w:rPr>
        <w:t xml:space="preserve"> </w:t>
      </w:r>
      <w:r w:rsidRPr="00DC2CC9">
        <w:rPr>
          <w:rFonts w:ascii="Times New Roman" w:hAnsi="Times New Roman" w:hint="eastAsia"/>
        </w:rPr>
        <w:t>第</w:t>
      </w:r>
      <w:r w:rsidRPr="00DC2CC9">
        <w:rPr>
          <w:rFonts w:ascii="Times New Roman" w:hAnsi="Times New Roman" w:hint="eastAsia"/>
        </w:rPr>
        <w:t>j</w:t>
      </w:r>
      <w:r w:rsidRPr="00DC2CC9">
        <w:rPr>
          <w:rFonts w:ascii="Times New Roman" w:hAnsi="Times New Roman" w:hint="eastAsia"/>
        </w:rPr>
        <w:t>振型水平地震作用效应非比例阻尼影响系数。</w:t>
      </w:r>
    </w:p>
    <w:p w14:paraId="688607A3" w14:textId="4D254698" w:rsidR="00C07AE1" w:rsidRPr="00DC2CC9" w:rsidRDefault="00C07AE1" w:rsidP="00A97CE1">
      <w:pPr>
        <w:pStyle w:val="af5"/>
        <w:rPr>
          <w:rFonts w:ascii="Times New Roman"/>
        </w:rPr>
      </w:pPr>
      <w:r w:rsidRPr="00DC2CC9">
        <w:rPr>
          <w:rFonts w:ascii="Times New Roman" w:hint="eastAsia"/>
        </w:rPr>
        <w:t>考虑扭转耦联影响时，各楼层可取两个正交的水平位移和一个转角共三个自由度，并应按下列要求计算隔震结构的地震作用和作用效应：</w:t>
      </w:r>
    </w:p>
    <w:p w14:paraId="78DFE5C2" w14:textId="77777777" w:rsidR="00C07AE1" w:rsidRPr="00DC2CC9" w:rsidRDefault="00C07AE1" w:rsidP="002D1C81">
      <w:pPr>
        <w:pStyle w:val="af6"/>
        <w:numPr>
          <w:ilvl w:val="1"/>
          <w:numId w:val="46"/>
        </w:numPr>
        <w:rPr>
          <w:rFonts w:ascii="Times New Roman"/>
        </w:rPr>
      </w:pPr>
      <w:r w:rsidRPr="00DC2CC9">
        <w:rPr>
          <w:rFonts w:ascii="Times New Roman" w:hint="eastAsia"/>
        </w:rPr>
        <w:t>结构</w:t>
      </w:r>
      <w:r w:rsidRPr="00DC2CC9">
        <w:rPr>
          <w:rFonts w:ascii="Times New Roman" w:hint="eastAsia"/>
        </w:rPr>
        <w:t>j</w:t>
      </w:r>
      <w:r w:rsidRPr="00DC2CC9">
        <w:rPr>
          <w:rFonts w:ascii="Times New Roman" w:hint="eastAsia"/>
        </w:rPr>
        <w:t>振型</w:t>
      </w:r>
      <w:r w:rsidRPr="00DC2CC9">
        <w:rPr>
          <w:rFonts w:ascii="Times New Roman" w:hint="eastAsia"/>
        </w:rPr>
        <w:t>i</w:t>
      </w:r>
      <w:r w:rsidRPr="00DC2CC9">
        <w:rPr>
          <w:rFonts w:ascii="Times New Roman" w:hint="eastAsia"/>
        </w:rPr>
        <w:t>质点的水平地震作用标准值应按下式确定：</w:t>
      </w:r>
    </w:p>
    <w:p w14:paraId="407E32BF" w14:textId="77777777" w:rsidR="00C07AE1" w:rsidRPr="00DC2CC9" w:rsidRDefault="00C07AE1" w:rsidP="00C07AE1">
      <w:pPr>
        <w:spacing w:line="240" w:lineRule="atLeast"/>
        <w:ind w:leftChars="350" w:left="735"/>
        <w:jc w:val="right"/>
        <w:rPr>
          <w:rFonts w:ascii="Times New Roman" w:hAnsi="Times New Roman"/>
          <w:iCs/>
        </w:rPr>
      </w:pPr>
      <m:oMath>
        <m:sSub>
          <m:sSubPr>
            <m:ctrlPr>
              <w:rPr>
                <w:rFonts w:ascii="Cambria Math" w:hAnsi="Cambria Math"/>
                <w:i/>
              </w:rPr>
            </m:ctrlPr>
          </m:sSubPr>
          <m:e>
            <m:sSub>
              <m:sSubPr>
                <m:ctrlPr>
                  <w:rPr>
                    <w:rFonts w:ascii="Cambria Math" w:hAnsi="Cambria Math"/>
                    <w:i/>
                  </w:rPr>
                </m:ctrlPr>
              </m:sSubPr>
              <m:e>
                <m:r>
                  <w:rPr>
                    <w:rFonts w:ascii="Cambria Math" w:hAnsi="Cambria Math"/>
                  </w:rPr>
                  <m:t>F</m:t>
                </m:r>
              </m:e>
              <m:sub>
                <m:r>
                  <w:rPr>
                    <w:rFonts w:ascii="Cambria Math" w:hAnsi="Cambria Math"/>
                  </w:rPr>
                  <m:t>Xji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j</m:t>
                </m:r>
              </m:sub>
            </m:sSub>
            <m:sSub>
              <m:sSubPr>
                <m:ctrlPr>
                  <w:rPr>
                    <w:rFonts w:ascii="Cambria Math" w:hAnsi="Cambria Math"/>
                    <w:i/>
                  </w:rPr>
                </m:ctrlPr>
              </m:sSubPr>
              <m:e>
                <m:r>
                  <w:rPr>
                    <w:rFonts w:ascii="Cambria Math" w:hAnsi="Cambria Math"/>
                  </w:rPr>
                  <m:t>γ</m:t>
                </m:r>
              </m:e>
              <m:sub>
                <m:r>
                  <w:rPr>
                    <w:rFonts w:ascii="Cambria Math" w:hAnsi="Cambria Math"/>
                  </w:rPr>
                  <m:t>tj</m:t>
                </m:r>
              </m:sub>
            </m:sSub>
            <m:sSub>
              <m:sSubPr>
                <m:ctrlPr>
                  <w:rPr>
                    <w:rFonts w:ascii="Cambria Math" w:hAnsi="Cambria Math"/>
                    <w:i/>
                  </w:rPr>
                </m:ctrlPr>
              </m:sSubPr>
              <m:e>
                <m:r>
                  <w:rPr>
                    <w:rFonts w:ascii="Cambria Math" w:hAnsi="Cambria Math"/>
                  </w:rPr>
                  <m:t>X</m:t>
                </m:r>
              </m:e>
              <m:sub>
                <m:r>
                  <w:rPr>
                    <w:rFonts w:ascii="Cambria Math" w:hAnsi="Cambria Math"/>
                  </w:rPr>
                  <m:t>ji</m:t>
                </m:r>
              </m:sub>
            </m:sSub>
            <m:sSub>
              <m:sSubPr>
                <m:ctrlPr>
                  <w:rPr>
                    <w:rFonts w:ascii="Cambria Math" w:hAnsi="Cambria Math"/>
                    <w:i/>
                  </w:rPr>
                </m:ctrlPr>
              </m:sSubPr>
              <m:e>
                <m:r>
                  <w:rPr>
                    <w:rFonts w:ascii="Cambria Math" w:hAnsi="Cambria Math"/>
                  </w:rPr>
                  <m:t>G</m:t>
                </m:r>
              </m:e>
              <m:sub>
                <m:r>
                  <w:rPr>
                    <w:rFonts w:ascii="Cambria Math" w:hAnsi="Cambria Math"/>
                  </w:rPr>
                  <m:t>i</m:t>
                </m:r>
              </m:sub>
            </m:sSub>
            <m:r>
              <w:rPr>
                <w:rFonts w:ascii="Cambria Math" w:hAnsi="Cambria Math"/>
              </w:rPr>
              <m:t xml:space="preserve">      F</m:t>
            </m:r>
          </m:e>
          <m:sub>
            <m:r>
              <w:rPr>
                <w:rFonts w:ascii="Cambria Math" w:hAnsi="Cambria Math"/>
              </w:rPr>
              <m:t>Yji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j</m:t>
            </m:r>
          </m:sub>
        </m:sSub>
        <m:sSub>
          <m:sSubPr>
            <m:ctrlPr>
              <w:rPr>
                <w:rFonts w:ascii="Cambria Math" w:hAnsi="Cambria Math"/>
                <w:i/>
              </w:rPr>
            </m:ctrlPr>
          </m:sSubPr>
          <m:e>
            <m:r>
              <w:rPr>
                <w:rFonts w:ascii="Cambria Math" w:hAnsi="Cambria Math"/>
              </w:rPr>
              <m:t>γ</m:t>
            </m:r>
          </m:e>
          <m:sub>
            <m:r>
              <w:rPr>
                <w:rFonts w:ascii="Cambria Math" w:hAnsi="Cambria Math"/>
              </w:rPr>
              <m:t>tj</m:t>
            </m:r>
          </m:sub>
        </m:sSub>
        <m:sSub>
          <m:sSubPr>
            <m:ctrlPr>
              <w:rPr>
                <w:rFonts w:ascii="Cambria Math" w:hAnsi="Cambria Math"/>
                <w:i/>
              </w:rPr>
            </m:ctrlPr>
          </m:sSubPr>
          <m:e>
            <m:r>
              <w:rPr>
                <w:rFonts w:ascii="Cambria Math" w:hAnsi="Cambria Math"/>
              </w:rPr>
              <m:t>Y</m:t>
            </m:r>
          </m:e>
          <m:sub>
            <m:r>
              <w:rPr>
                <w:rFonts w:ascii="Cambria Math" w:hAnsi="Cambria Math"/>
              </w:rPr>
              <m:t>ji</m:t>
            </m:r>
          </m:sub>
        </m:sSub>
        <m:sSub>
          <m:sSubPr>
            <m:ctrlPr>
              <w:rPr>
                <w:rFonts w:ascii="Cambria Math" w:hAnsi="Cambria Math"/>
                <w:i/>
              </w:rPr>
            </m:ctrlPr>
          </m:sSubPr>
          <m:e>
            <m:r>
              <w:rPr>
                <w:rFonts w:ascii="Cambria Math" w:hAnsi="Cambria Math"/>
              </w:rPr>
              <m:t>G</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rji</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j</m:t>
            </m:r>
          </m:sub>
        </m:sSub>
        <m:sSub>
          <m:sSubPr>
            <m:ctrlPr>
              <w:rPr>
                <w:rFonts w:ascii="Cambria Math" w:hAnsi="Cambria Math"/>
                <w:i/>
              </w:rPr>
            </m:ctrlPr>
          </m:sSubPr>
          <m:e>
            <m:r>
              <w:rPr>
                <w:rFonts w:ascii="Cambria Math" w:hAnsi="Cambria Math"/>
              </w:rPr>
              <m:t>γ</m:t>
            </m:r>
          </m:e>
          <m:sub>
            <m:r>
              <w:rPr>
                <w:rFonts w:ascii="Cambria Math" w:hAnsi="Cambria Math"/>
              </w:rPr>
              <m:t>tj</m:t>
            </m:r>
          </m:sub>
        </m:sSub>
        <m:sSup>
          <m:sSupPr>
            <m:ctrlPr>
              <w:rPr>
                <w:rFonts w:ascii="Cambria Math" w:hAnsi="Cambria Math"/>
                <w:i/>
              </w:rPr>
            </m:ctrlPr>
          </m:sSupPr>
          <m:e>
            <m:r>
              <w:rPr>
                <w:rFonts w:ascii="Cambria Math" w:hAnsi="Cambria Math"/>
              </w:rPr>
              <m:t>r</m:t>
            </m:r>
          </m:e>
          <m:sup>
            <m:r>
              <w:rPr>
                <w:rFonts w:ascii="Cambria Math" w:hAnsi="Cambria Math"/>
              </w:rPr>
              <m:t>2</m:t>
            </m:r>
          </m:sup>
        </m:sSup>
        <m:sSub>
          <m:sSubPr>
            <m:ctrlPr>
              <w:rPr>
                <w:rFonts w:ascii="Cambria Math" w:hAnsi="Cambria Math"/>
                <w:i/>
              </w:rPr>
            </m:ctrlPr>
          </m:sSubPr>
          <m:e>
            <m:r>
              <w:rPr>
                <w:rFonts w:ascii="Cambria Math" w:hAnsi="Cambria Math"/>
              </w:rPr>
              <m:t>φ</m:t>
            </m:r>
          </m:e>
          <m:sub>
            <m:r>
              <w:rPr>
                <w:rFonts w:ascii="Cambria Math" w:hAnsi="Cambria Math"/>
              </w:rPr>
              <m:t>ji</m:t>
            </m:r>
          </m:sub>
        </m:sSub>
        <m:sSub>
          <m:sSubPr>
            <m:ctrlPr>
              <w:rPr>
                <w:rFonts w:ascii="Cambria Math" w:hAnsi="Cambria Math"/>
                <w:i/>
              </w:rPr>
            </m:ctrlPr>
          </m:sSubPr>
          <m:e>
            <m:r>
              <w:rPr>
                <w:rFonts w:ascii="Cambria Math" w:hAnsi="Cambria Math"/>
              </w:rPr>
              <m:t>G</m:t>
            </m:r>
          </m:e>
          <m:sub>
            <m:r>
              <w:rPr>
                <w:rFonts w:ascii="Cambria Math" w:hAnsi="Cambria Math"/>
              </w:rPr>
              <m:t>i</m:t>
            </m:r>
          </m:sub>
        </m:sSub>
        <m:r>
          <w:rPr>
            <w:rFonts w:ascii="Cambria Math" w:hAnsi="Cambria Math"/>
          </w:rPr>
          <m:t xml:space="preserve"> </m:t>
        </m:r>
      </m:oMath>
      <w:r w:rsidRPr="00DC2CC9">
        <w:rPr>
          <w:rFonts w:ascii="Times New Roman" w:hAnsi="Times New Roman" w:hint="eastAsia"/>
        </w:rPr>
        <w:t xml:space="preserve"> </w:t>
      </w:r>
      <w:r w:rsidRPr="00DC2CC9">
        <w:rPr>
          <w:rFonts w:ascii="Times New Roman" w:hAnsi="Times New Roman" w:hint="eastAsia"/>
        </w:rPr>
        <w:t>··········</w:t>
      </w:r>
      <w:r w:rsidRPr="00DC2CC9">
        <w:rPr>
          <w:rFonts w:ascii="Times New Roman" w:hAnsi="Times New Roman" w:hint="eastAsia"/>
          <w:iCs/>
        </w:rPr>
        <w:t>（</w:t>
      </w:r>
      <w:r w:rsidRPr="00DC2CC9">
        <w:rPr>
          <w:rFonts w:ascii="Times New Roman" w:hAnsi="Times New Roman" w:hint="eastAsia"/>
          <w:iCs/>
        </w:rPr>
        <w:t>7</w:t>
      </w:r>
      <w:r w:rsidRPr="00DC2CC9">
        <w:rPr>
          <w:rFonts w:ascii="Times New Roman" w:hAnsi="Times New Roman" w:hint="eastAsia"/>
          <w:iCs/>
        </w:rPr>
        <w:t>）</w:t>
      </w:r>
    </w:p>
    <w:p w14:paraId="446D992F" w14:textId="77777777" w:rsidR="00C07AE1" w:rsidRPr="00DC2CC9" w:rsidRDefault="00C07AE1" w:rsidP="00C07AE1">
      <w:pPr>
        <w:spacing w:line="240" w:lineRule="atLeast"/>
        <w:ind w:leftChars="350" w:left="735"/>
        <w:rPr>
          <w:rFonts w:ascii="Times New Roman" w:hAnsi="Times New Roman"/>
        </w:rPr>
      </w:pPr>
      <m:oMathPara>
        <m:oMath>
          <m:r>
            <w:rPr>
              <w:rFonts w:ascii="Cambria Math" w:hAnsi="Cambria Math" w:hint="eastAsia"/>
            </w:rPr>
            <m:t>（</m:t>
          </m:r>
          <m:r>
            <w:rPr>
              <w:rFonts w:ascii="Cambria Math" w:hAnsi="Cambria Math"/>
            </w:rPr>
            <m:t>i=1,2,</m:t>
          </m:r>
          <m:r>
            <w:rPr>
              <w:rFonts w:ascii="Cambria Math" w:hAnsi="Cambria Math" w:hint="eastAsia"/>
            </w:rPr>
            <m:t>···</m:t>
          </m:r>
          <m:r>
            <w:rPr>
              <w:rFonts w:ascii="Cambria Math" w:hAnsi="Cambria Math"/>
            </w:rPr>
            <m:t>,n</m:t>
          </m:r>
          <m:r>
            <w:rPr>
              <w:rFonts w:ascii="Cambria Math" w:hAnsi="Cambria Math" w:hint="eastAsia"/>
            </w:rPr>
            <m:t>；</m:t>
          </m:r>
          <m:r>
            <w:rPr>
              <w:rFonts w:ascii="Cambria Math" w:hAnsi="Cambria Math"/>
            </w:rPr>
            <m:t>j=1,2,</m:t>
          </m:r>
          <m:r>
            <w:rPr>
              <w:rFonts w:ascii="Cambria Math" w:hAnsi="Cambria Math" w:hint="eastAsia"/>
            </w:rPr>
            <m:t>···</m:t>
          </m:r>
          <m:r>
            <w:rPr>
              <w:rFonts w:ascii="Cambria Math" w:hAnsi="Cambria Math"/>
            </w:rPr>
            <m:t>,m</m:t>
          </m:r>
          <m:r>
            <w:rPr>
              <w:rFonts w:ascii="Cambria Math" w:hAnsi="Cambria Math" w:hint="eastAsia"/>
            </w:rPr>
            <m:t>）</m:t>
          </m:r>
        </m:oMath>
      </m:oMathPara>
    </w:p>
    <w:p w14:paraId="3B9A8B13" w14:textId="77777777" w:rsidR="00C07AE1" w:rsidRPr="00DC2CC9" w:rsidRDefault="00C07AE1" w:rsidP="009A1A20">
      <w:pPr>
        <w:ind w:leftChars="500" w:left="1050" w:firstLineChars="100" w:firstLine="210"/>
        <w:rPr>
          <w:rFonts w:ascii="Times New Roman" w:hAnsi="Times New Roman"/>
        </w:rPr>
      </w:pPr>
      <w:r w:rsidRPr="00DC2CC9">
        <w:rPr>
          <w:rFonts w:ascii="Times New Roman" w:hAnsi="Times New Roman" w:hint="eastAsia"/>
        </w:rPr>
        <w:t>式中：</w:t>
      </w:r>
    </w:p>
    <w:p w14:paraId="32D61A11" w14:textId="77777777" w:rsidR="00C07AE1" w:rsidRPr="00DC2CC9" w:rsidRDefault="00C07AE1" w:rsidP="009A1A20">
      <w:pPr>
        <w:ind w:leftChars="600" w:left="2730" w:hangingChars="700" w:hanging="1470"/>
        <w:rPr>
          <w:rFonts w:ascii="Times New Roman" w:hAnsi="Times New Roman"/>
        </w:rPr>
      </w:pPr>
      <w:r w:rsidRPr="00DC2CC9">
        <w:rPr>
          <w:rFonts w:ascii="Times New Roman" w:hAnsi="Times New Roman" w:hint="eastAsia"/>
        </w:rPr>
        <w:lastRenderedPageBreak/>
        <w:t>F</w:t>
      </w:r>
      <w:r w:rsidRPr="00DC2CC9">
        <w:rPr>
          <w:rFonts w:ascii="Times New Roman" w:hAnsi="Times New Roman" w:hint="eastAsia"/>
          <w:vertAlign w:val="subscript"/>
        </w:rPr>
        <w:t>Xji</w:t>
      </w:r>
      <w:r w:rsidRPr="00DC2CC9">
        <w:rPr>
          <w:rFonts w:ascii="Times New Roman" w:hAnsi="Times New Roman" w:hint="eastAsia"/>
        </w:rPr>
        <w:t>，</w:t>
      </w:r>
      <w:r w:rsidRPr="00DC2CC9">
        <w:rPr>
          <w:rFonts w:ascii="Times New Roman" w:hAnsi="Times New Roman" w:hint="eastAsia"/>
        </w:rPr>
        <w:t>F</w:t>
      </w:r>
      <w:r w:rsidRPr="00DC2CC9">
        <w:rPr>
          <w:rFonts w:ascii="Times New Roman" w:hAnsi="Times New Roman" w:hint="eastAsia"/>
          <w:vertAlign w:val="subscript"/>
        </w:rPr>
        <w:t>Yji</w:t>
      </w:r>
      <w:r w:rsidRPr="00DC2CC9">
        <w:rPr>
          <w:rFonts w:ascii="Times New Roman" w:hAnsi="Times New Roman" w:hint="eastAsia"/>
        </w:rPr>
        <w:t>，</w:t>
      </w:r>
      <w:r w:rsidRPr="00DC2CC9">
        <w:rPr>
          <w:rFonts w:ascii="Times New Roman" w:hAnsi="Times New Roman" w:hint="eastAsia"/>
        </w:rPr>
        <w:t>F</w:t>
      </w:r>
      <w:r w:rsidRPr="00DC2CC9">
        <w:rPr>
          <w:rFonts w:ascii="Times New Roman" w:hAnsi="Times New Roman" w:hint="eastAsia"/>
          <w:vertAlign w:val="subscript"/>
        </w:rPr>
        <w:t xml:space="preserve">rji  </w:t>
      </w:r>
      <w:r w:rsidRPr="00DC2CC9">
        <w:rPr>
          <w:rFonts w:ascii="Times New Roman" w:hAnsi="Times New Roman" w:hint="eastAsia"/>
        </w:rPr>
        <w:t>——分别为</w:t>
      </w:r>
      <w:r w:rsidRPr="00DC2CC9">
        <w:rPr>
          <w:rFonts w:ascii="Times New Roman" w:hAnsi="Times New Roman" w:hint="eastAsia"/>
        </w:rPr>
        <w:t>j</w:t>
      </w:r>
      <w:r w:rsidRPr="00DC2CC9">
        <w:rPr>
          <w:rFonts w:ascii="Times New Roman" w:hAnsi="Times New Roman" w:hint="eastAsia"/>
        </w:rPr>
        <w:t>振型</w:t>
      </w:r>
      <w:r w:rsidRPr="00DC2CC9">
        <w:rPr>
          <w:rFonts w:ascii="Times New Roman" w:hAnsi="Times New Roman" w:hint="eastAsia"/>
        </w:rPr>
        <w:t>i</w:t>
      </w:r>
      <w:r w:rsidRPr="00DC2CC9">
        <w:rPr>
          <w:rFonts w:ascii="Times New Roman" w:hAnsi="Times New Roman" w:hint="eastAsia"/>
        </w:rPr>
        <w:t>质点的</w:t>
      </w:r>
      <w:r w:rsidRPr="00DC2CC9">
        <w:rPr>
          <w:rFonts w:ascii="Times New Roman" w:hAnsi="Times New Roman" w:hint="eastAsia"/>
        </w:rPr>
        <w:t>x</w:t>
      </w:r>
      <w:r w:rsidRPr="00DC2CC9">
        <w:rPr>
          <w:rFonts w:ascii="Times New Roman" w:hAnsi="Times New Roman" w:hint="eastAsia"/>
        </w:rPr>
        <w:t>方向、</w:t>
      </w:r>
      <w:r w:rsidRPr="00DC2CC9">
        <w:rPr>
          <w:rFonts w:ascii="Times New Roman" w:hAnsi="Times New Roman" w:hint="eastAsia"/>
        </w:rPr>
        <w:t>y</w:t>
      </w:r>
      <w:r w:rsidRPr="00DC2CC9">
        <w:rPr>
          <w:rFonts w:ascii="Times New Roman" w:hAnsi="Times New Roman" w:hint="eastAsia"/>
        </w:rPr>
        <w:t>方向和转角方向的水平地震作用标准值，单位为牛顿（</w:t>
      </w:r>
      <w:r w:rsidRPr="00DC2CC9">
        <w:rPr>
          <w:rFonts w:ascii="Times New Roman" w:hAnsi="Times New Roman" w:hint="eastAsia"/>
        </w:rPr>
        <w:t>N</w:t>
      </w:r>
      <w:r w:rsidRPr="00DC2CC9">
        <w:rPr>
          <w:rFonts w:ascii="Times New Roman" w:hAnsi="Times New Roman" w:hint="eastAsia"/>
        </w:rPr>
        <w:t>）；</w:t>
      </w:r>
    </w:p>
    <w:p w14:paraId="5AB2C090" w14:textId="77777777" w:rsidR="00C07AE1" w:rsidRPr="00DC2CC9" w:rsidRDefault="00C07AE1" w:rsidP="009A1A20">
      <w:pPr>
        <w:ind w:leftChars="500" w:left="1050" w:firstLineChars="100" w:firstLine="210"/>
        <w:rPr>
          <w:rFonts w:ascii="Times New Roman" w:hAnsi="Times New Roman"/>
        </w:rPr>
      </w:pPr>
      <w:r w:rsidRPr="00DC2CC9">
        <w:rPr>
          <w:rFonts w:ascii="Times New Roman" w:hAnsi="Times New Roman" w:hint="eastAsia"/>
        </w:rPr>
        <w:t>X</w:t>
      </w:r>
      <w:r w:rsidRPr="00DC2CC9">
        <w:rPr>
          <w:rFonts w:ascii="Times New Roman" w:hAnsi="Times New Roman" w:hint="eastAsia"/>
          <w:vertAlign w:val="subscript"/>
        </w:rPr>
        <w:t>ji</w:t>
      </w:r>
      <w:r w:rsidRPr="00DC2CC9">
        <w:rPr>
          <w:rFonts w:ascii="Times New Roman" w:hAnsi="Times New Roman" w:hint="eastAsia"/>
        </w:rPr>
        <w:t>，</w:t>
      </w:r>
      <w:r w:rsidRPr="00DC2CC9">
        <w:rPr>
          <w:rFonts w:ascii="Times New Roman" w:hAnsi="Times New Roman" w:hint="eastAsia"/>
        </w:rPr>
        <w:t>Y</w:t>
      </w:r>
      <w:r w:rsidRPr="00DC2CC9">
        <w:rPr>
          <w:rFonts w:ascii="Times New Roman" w:hAnsi="Times New Roman" w:hint="eastAsia"/>
          <w:vertAlign w:val="subscript"/>
        </w:rPr>
        <w:t xml:space="preserve">ji </w:t>
      </w:r>
      <w:r w:rsidRPr="00DC2CC9">
        <w:rPr>
          <w:rFonts w:ascii="Times New Roman" w:hAnsi="Times New Roman" w:hint="eastAsia"/>
        </w:rPr>
        <w:t>——分别为</w:t>
      </w:r>
      <w:r w:rsidRPr="00DC2CC9">
        <w:rPr>
          <w:rFonts w:ascii="Times New Roman" w:hAnsi="Times New Roman" w:hint="eastAsia"/>
        </w:rPr>
        <w:t>j</w:t>
      </w:r>
      <w:r w:rsidRPr="00DC2CC9">
        <w:rPr>
          <w:rFonts w:ascii="Times New Roman" w:hAnsi="Times New Roman" w:hint="eastAsia"/>
        </w:rPr>
        <w:t>振型</w:t>
      </w:r>
      <w:r w:rsidRPr="00DC2CC9">
        <w:rPr>
          <w:rFonts w:ascii="Times New Roman" w:hAnsi="Times New Roman" w:hint="eastAsia"/>
        </w:rPr>
        <w:t>i</w:t>
      </w:r>
      <w:r w:rsidRPr="00DC2CC9">
        <w:rPr>
          <w:rFonts w:ascii="Times New Roman" w:hAnsi="Times New Roman" w:hint="eastAsia"/>
        </w:rPr>
        <w:t>质点的</w:t>
      </w:r>
      <w:r w:rsidRPr="00DC2CC9">
        <w:rPr>
          <w:rFonts w:ascii="Times New Roman" w:hAnsi="Times New Roman" w:hint="eastAsia"/>
        </w:rPr>
        <w:t>x</w:t>
      </w:r>
      <w:r w:rsidRPr="00DC2CC9">
        <w:rPr>
          <w:rFonts w:ascii="Times New Roman" w:hAnsi="Times New Roman" w:hint="eastAsia"/>
        </w:rPr>
        <w:t>方向和</w:t>
      </w:r>
      <w:r w:rsidRPr="00DC2CC9">
        <w:rPr>
          <w:rFonts w:ascii="Times New Roman" w:hAnsi="Times New Roman" w:hint="eastAsia"/>
        </w:rPr>
        <w:t>y</w:t>
      </w:r>
      <w:r w:rsidRPr="00DC2CC9">
        <w:rPr>
          <w:rFonts w:ascii="Times New Roman" w:hAnsi="Times New Roman" w:hint="eastAsia"/>
        </w:rPr>
        <w:t>方向的水平相对位移，单位为毫米（</w:t>
      </w:r>
      <w:r w:rsidRPr="00DC2CC9">
        <w:rPr>
          <w:rFonts w:ascii="Times New Roman" w:hAnsi="Times New Roman" w:hint="eastAsia"/>
        </w:rPr>
        <w:t>mm</w:t>
      </w:r>
      <w:r w:rsidRPr="00DC2CC9">
        <w:rPr>
          <w:rFonts w:ascii="Times New Roman" w:hAnsi="Times New Roman" w:hint="eastAsia"/>
        </w:rPr>
        <w:t>）；</w:t>
      </w:r>
    </w:p>
    <w:p w14:paraId="16922B9B" w14:textId="77777777" w:rsidR="00C07AE1" w:rsidRPr="00DC2CC9" w:rsidRDefault="00C07AE1" w:rsidP="009A1A20">
      <w:pPr>
        <w:ind w:firstLineChars="600" w:firstLine="1260"/>
        <w:rPr>
          <w:rFonts w:ascii="Times New Roman" w:hAnsi="Times New Roman"/>
        </w:rPr>
      </w:pPr>
      <w:r w:rsidRPr="00DC2CC9">
        <w:rPr>
          <w:rFonts w:ascii="Times New Roman" w:hAnsi="Times New Roman" w:hint="eastAsia"/>
        </w:rPr>
        <w:t>φ</w:t>
      </w:r>
      <w:r w:rsidRPr="00DC2CC9">
        <w:rPr>
          <w:rFonts w:ascii="Times New Roman" w:hAnsi="Times New Roman" w:hint="eastAsia"/>
          <w:vertAlign w:val="subscript"/>
        </w:rPr>
        <w:t xml:space="preserve">ji  </w:t>
      </w:r>
      <w:r w:rsidRPr="00DC2CC9">
        <w:rPr>
          <w:rFonts w:ascii="Times New Roman" w:hAnsi="Times New Roman" w:hint="eastAsia"/>
        </w:rPr>
        <w:t>——</w:t>
      </w:r>
      <w:r w:rsidRPr="00DC2CC9">
        <w:rPr>
          <w:rFonts w:ascii="Times New Roman" w:hAnsi="Times New Roman" w:hint="eastAsia"/>
        </w:rPr>
        <w:t>j</w:t>
      </w:r>
      <w:r w:rsidRPr="00DC2CC9">
        <w:rPr>
          <w:rFonts w:ascii="Times New Roman" w:hAnsi="Times New Roman" w:hint="eastAsia"/>
        </w:rPr>
        <w:t>振型</w:t>
      </w:r>
      <w:r w:rsidRPr="00DC2CC9">
        <w:rPr>
          <w:rFonts w:ascii="Times New Roman" w:hAnsi="Times New Roman" w:hint="eastAsia"/>
        </w:rPr>
        <w:t>i</w:t>
      </w:r>
      <w:r w:rsidRPr="00DC2CC9">
        <w:rPr>
          <w:rFonts w:ascii="Times New Roman" w:hAnsi="Times New Roman" w:hint="eastAsia"/>
        </w:rPr>
        <w:t>质点的相对扭转转角，单位为度（°）；</w:t>
      </w:r>
    </w:p>
    <w:p w14:paraId="009FA43E" w14:textId="77777777" w:rsidR="00C07AE1" w:rsidRPr="00DC2CC9" w:rsidRDefault="00C07AE1" w:rsidP="009A1A20">
      <w:pPr>
        <w:ind w:firstLineChars="600" w:firstLine="1260"/>
        <w:rPr>
          <w:rFonts w:ascii="Times New Roman" w:hAnsi="Times New Roman"/>
        </w:rPr>
      </w:pPr>
      <w:r w:rsidRPr="00DC2CC9">
        <w:rPr>
          <w:rFonts w:ascii="Times New Roman" w:hAnsi="Times New Roman" w:hint="eastAsia"/>
        </w:rPr>
        <w:t>r</w:t>
      </w:r>
      <w:r w:rsidRPr="00DC2CC9">
        <w:rPr>
          <w:rFonts w:ascii="Times New Roman" w:hAnsi="Times New Roman" w:hint="eastAsia"/>
          <w:vertAlign w:val="subscript"/>
        </w:rPr>
        <w:t xml:space="preserve">i  </w:t>
      </w:r>
      <w:r w:rsidRPr="00DC2CC9">
        <w:rPr>
          <w:rFonts w:ascii="Times New Roman" w:hAnsi="Times New Roman" w:hint="eastAsia"/>
        </w:rPr>
        <w:t>——</w:t>
      </w:r>
      <w:r w:rsidRPr="00DC2CC9">
        <w:rPr>
          <w:rFonts w:ascii="Times New Roman" w:hAnsi="Times New Roman" w:hint="eastAsia"/>
        </w:rPr>
        <w:t>i</w:t>
      </w:r>
      <w:r w:rsidRPr="00DC2CC9">
        <w:rPr>
          <w:rFonts w:ascii="Times New Roman" w:hAnsi="Times New Roman" w:hint="eastAsia"/>
        </w:rPr>
        <w:t>质点的转动半径，可取</w:t>
      </w:r>
      <w:r w:rsidRPr="00DC2CC9">
        <w:rPr>
          <w:rFonts w:ascii="Times New Roman" w:hAnsi="Times New Roman" w:hint="eastAsia"/>
        </w:rPr>
        <w:t>i</w:t>
      </w:r>
      <w:r w:rsidRPr="00DC2CC9">
        <w:rPr>
          <w:rFonts w:ascii="Times New Roman" w:hAnsi="Times New Roman" w:hint="eastAsia"/>
        </w:rPr>
        <w:t>质点绕质心的转动惯量除以该质点的商的正二次方根；</w:t>
      </w:r>
    </w:p>
    <w:p w14:paraId="076C8437" w14:textId="77777777" w:rsidR="00C07AE1" w:rsidRPr="00DC2CC9" w:rsidRDefault="00C07AE1" w:rsidP="009A1A20">
      <w:pPr>
        <w:ind w:firstLineChars="600" w:firstLine="1260"/>
        <w:rPr>
          <w:rFonts w:ascii="Times New Roman" w:hAnsi="Times New Roman"/>
        </w:rPr>
      </w:pPr>
      <w:r w:rsidRPr="00DC2CC9">
        <w:rPr>
          <w:rFonts w:ascii="Times New Roman" w:hAnsi="Times New Roman" w:hint="eastAsia"/>
        </w:rPr>
        <w:t>γ</w:t>
      </w:r>
      <w:r w:rsidRPr="00DC2CC9">
        <w:rPr>
          <w:rFonts w:ascii="Times New Roman" w:hAnsi="Times New Roman" w:hint="eastAsia"/>
          <w:vertAlign w:val="subscript"/>
        </w:rPr>
        <w:t xml:space="preserve">tj  </w:t>
      </w:r>
      <w:r w:rsidRPr="00DC2CC9">
        <w:rPr>
          <w:rFonts w:ascii="Times New Roman" w:hAnsi="Times New Roman" w:hint="eastAsia"/>
        </w:rPr>
        <w:t>——计入扭转的</w:t>
      </w:r>
      <w:r w:rsidRPr="00DC2CC9">
        <w:rPr>
          <w:rFonts w:ascii="Times New Roman" w:hAnsi="Times New Roman" w:hint="eastAsia"/>
        </w:rPr>
        <w:t>j</w:t>
      </w:r>
      <w:r w:rsidRPr="00DC2CC9">
        <w:rPr>
          <w:rFonts w:ascii="Times New Roman" w:hAnsi="Times New Roman" w:hint="eastAsia"/>
        </w:rPr>
        <w:t>振型的参与系数。</w:t>
      </w:r>
    </w:p>
    <w:p w14:paraId="6918F377" w14:textId="77777777" w:rsidR="00C07AE1" w:rsidRPr="00DC2CC9" w:rsidRDefault="00C07AE1" w:rsidP="000B5226">
      <w:pPr>
        <w:pStyle w:val="af6"/>
        <w:rPr>
          <w:rFonts w:ascii="Times New Roman"/>
        </w:rPr>
      </w:pPr>
      <w:r w:rsidRPr="00DC2CC9">
        <w:rPr>
          <w:rFonts w:ascii="Times New Roman" w:hint="eastAsia"/>
        </w:rPr>
        <w:t>单向水平地震作用下的效应，可按下列公式确定：</w:t>
      </w:r>
    </w:p>
    <w:p w14:paraId="7D411E7D" w14:textId="77777777" w:rsidR="00C07AE1" w:rsidRPr="00DC2CC9" w:rsidRDefault="00C07AE1" w:rsidP="00C07AE1">
      <w:pPr>
        <w:spacing w:line="240" w:lineRule="atLeast"/>
        <w:ind w:leftChars="350" w:left="735"/>
        <w:jc w:val="right"/>
        <w:rPr>
          <w:rFonts w:ascii="Times New Roman" w:hAnsi="Times New Roman"/>
        </w:rPr>
      </w:pPr>
      <m:oMath>
        <m:sSub>
          <m:sSubPr>
            <m:ctrlPr>
              <w:rPr>
                <w:rFonts w:ascii="Cambria Math" w:hAnsi="Cambria Math"/>
                <w:i/>
              </w:rPr>
            </m:ctrlPr>
          </m:sSubPr>
          <m:e>
            <m:r>
              <w:rPr>
                <w:rFonts w:ascii="Cambria Math" w:hAnsi="Cambria Math"/>
              </w:rPr>
              <m:t>S</m:t>
            </m:r>
          </m:e>
          <m:sub>
            <m:r>
              <w:rPr>
                <w:rFonts w:ascii="Cambria Math" w:hAnsi="Cambria Math"/>
              </w:rPr>
              <m:t>Ek</m:t>
            </m:r>
          </m:sub>
        </m:sSub>
        <m:r>
          <w:rPr>
            <w:rFonts w:ascii="Cambria Math" w:hAnsi="Cambria Math"/>
          </w:rPr>
          <m:t>=</m:t>
        </m:r>
        <m:rad>
          <m:radPr>
            <m:degHide m:val="1"/>
            <m:ctrlPr>
              <w:rPr>
                <w:rFonts w:ascii="Cambria Math" w:hAnsi="Cambria Math"/>
                <w:i/>
              </w:rPr>
            </m:ctrlPr>
          </m:radPr>
          <m:deg/>
          <m:e>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nary>
                  <m:naryPr>
                    <m:chr m:val="∑"/>
                    <m:limLoc m:val="undOvr"/>
                    <m:ctrlPr>
                      <w:rPr>
                        <w:rFonts w:ascii="Cambria Math" w:hAnsi="Cambria Math"/>
                        <w:i/>
                      </w:rPr>
                    </m:ctrlPr>
                  </m:naryPr>
                  <m:sub>
                    <m:r>
                      <w:rPr>
                        <w:rFonts w:ascii="Cambria Math" w:hAnsi="Cambria Math"/>
                      </w:rPr>
                      <m:t>k=1</m:t>
                    </m:r>
                  </m:sub>
                  <m:sup>
                    <m:r>
                      <w:rPr>
                        <w:rFonts w:ascii="Cambria Math" w:hAnsi="Cambria Math"/>
                      </w:rPr>
                      <m:t>n</m:t>
                    </m:r>
                  </m:sup>
                  <m:e>
                    <m:sSub>
                      <m:sSubPr>
                        <m:ctrlPr>
                          <w:rPr>
                            <w:rFonts w:ascii="Cambria Math" w:hAnsi="Cambria Math"/>
                            <w:i/>
                          </w:rPr>
                        </m:ctrlPr>
                      </m:sSubPr>
                      <m:e>
                        <m:r>
                          <w:rPr>
                            <w:rFonts w:ascii="Cambria Math" w:hAnsi="Cambria Math"/>
                          </w:rPr>
                          <m:t>ρ</m:t>
                        </m:r>
                      </m:e>
                      <m:sub>
                        <m:r>
                          <w:rPr>
                            <w:rFonts w:ascii="Cambria Math" w:hAnsi="Cambria Math"/>
                          </w:rPr>
                          <m:t>jk</m:t>
                        </m:r>
                      </m:sub>
                    </m:sSub>
                    <m:sSub>
                      <m:sSubPr>
                        <m:ctrlPr>
                          <w:rPr>
                            <w:rFonts w:ascii="Cambria Math" w:hAnsi="Cambria Math"/>
                            <w:i/>
                          </w:rPr>
                        </m:ctrlPr>
                      </m:sSubPr>
                      <m:e>
                        <m:r>
                          <w:rPr>
                            <w:rFonts w:ascii="Cambria Math" w:hAnsi="Cambria Math"/>
                          </w:rPr>
                          <m:t>S</m:t>
                        </m:r>
                      </m:e>
                      <m:sub>
                        <m:r>
                          <w:rPr>
                            <w:rFonts w:ascii="Cambria Math" w:hAnsi="Cambria Math"/>
                          </w:rPr>
                          <m:t>j</m:t>
                        </m:r>
                      </m:sub>
                    </m:sSub>
                    <m:sSub>
                      <m:sSubPr>
                        <m:ctrlPr>
                          <w:rPr>
                            <w:rFonts w:ascii="Cambria Math" w:hAnsi="Cambria Math"/>
                            <w:i/>
                          </w:rPr>
                        </m:ctrlPr>
                      </m:sSubPr>
                      <m:e>
                        <m:r>
                          <w:rPr>
                            <w:rFonts w:ascii="Cambria Math" w:hAnsi="Cambria Math"/>
                          </w:rPr>
                          <m:t>S</m:t>
                        </m:r>
                      </m:e>
                      <m:sub>
                        <m:r>
                          <w:rPr>
                            <w:rFonts w:ascii="Cambria Math" w:hAnsi="Cambria Math"/>
                          </w:rPr>
                          <m:t>k</m:t>
                        </m:r>
                      </m:sub>
                    </m:sSub>
                  </m:e>
                </m:nary>
              </m:e>
            </m:nary>
          </m:e>
        </m:rad>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8</w:t>
      </w:r>
      <w:r w:rsidRPr="00DC2CC9">
        <w:rPr>
          <w:rFonts w:ascii="Times New Roman" w:hAnsi="Times New Roman" w:hint="eastAsia"/>
        </w:rPr>
        <w:t>）</w:t>
      </w:r>
    </w:p>
    <w:p w14:paraId="463BAC7A" w14:textId="77777777" w:rsidR="00C07AE1" w:rsidRPr="00DC2CC9" w:rsidRDefault="00C07AE1" w:rsidP="00C07AE1">
      <w:pPr>
        <w:spacing w:line="240" w:lineRule="atLeast"/>
        <w:ind w:leftChars="350" w:left="735"/>
        <w:jc w:val="right"/>
        <w:rPr>
          <w:rFonts w:ascii="Times New Roman" w:hAnsi="Times New Roman"/>
        </w:rPr>
      </w:pPr>
      <m:oMath>
        <m:sSub>
          <m:sSubPr>
            <m:ctrlPr>
              <w:rPr>
                <w:rFonts w:ascii="Cambria Math" w:hAnsi="Cambria Math"/>
                <w:i/>
              </w:rPr>
            </m:ctrlPr>
          </m:sSubPr>
          <m:e>
            <m:r>
              <w:rPr>
                <w:rFonts w:ascii="Cambria Math" w:hAnsi="Cambria Math"/>
              </w:rPr>
              <m:t>ρ</m:t>
            </m:r>
          </m:e>
          <m:sub>
            <m:r>
              <w:rPr>
                <w:rFonts w:ascii="Cambria Math" w:hAnsi="Cambria Math"/>
              </w:rPr>
              <m:t>jk</m:t>
            </m:r>
          </m:sub>
        </m:sSub>
        <m:r>
          <w:rPr>
            <w:rFonts w:ascii="Cambria Math" w:hAnsi="Cambria Math"/>
          </w:rPr>
          <m:t>=</m:t>
        </m:r>
        <m:f>
          <m:fPr>
            <m:ctrlPr>
              <w:rPr>
                <w:rFonts w:ascii="Cambria Math" w:hAnsi="Cambria Math"/>
                <w:i/>
              </w:rPr>
            </m:ctrlPr>
          </m:fPr>
          <m:num>
            <m:r>
              <w:rPr>
                <w:rFonts w:ascii="Cambria Math" w:hAnsi="Cambria Math"/>
              </w:rPr>
              <m:t>8</m:t>
            </m:r>
            <m:rad>
              <m:radPr>
                <m:degHide m:val="1"/>
                <m:ctrlPr>
                  <w:rPr>
                    <w:rFonts w:ascii="Cambria Math" w:hAnsi="Cambria Math"/>
                    <w:i/>
                  </w:rPr>
                </m:ctrlPr>
              </m:radPr>
              <m:deg/>
              <m:e>
                <m:sSub>
                  <m:sSubPr>
                    <m:ctrlPr>
                      <w:rPr>
                        <w:rFonts w:ascii="Cambria Math" w:hAnsi="Cambria Math"/>
                        <w:i/>
                      </w:rPr>
                    </m:ctrlPr>
                  </m:sSubPr>
                  <m:e>
                    <m:r>
                      <w:rPr>
                        <w:rFonts w:ascii="Cambria Math" w:hAnsi="Cambria Math"/>
                      </w:rPr>
                      <m:t>ζ</m:t>
                    </m:r>
                  </m:e>
                  <m:sub>
                    <m:r>
                      <w:rPr>
                        <w:rFonts w:ascii="Cambria Math" w:hAnsi="Cambria Math"/>
                      </w:rPr>
                      <m:t>j</m:t>
                    </m:r>
                  </m:sub>
                </m:sSub>
                <m:sSub>
                  <m:sSubPr>
                    <m:ctrlPr>
                      <w:rPr>
                        <w:rFonts w:ascii="Cambria Math" w:hAnsi="Cambria Math"/>
                        <w:i/>
                      </w:rPr>
                    </m:ctrlPr>
                  </m:sSubPr>
                  <m:e>
                    <m:r>
                      <w:rPr>
                        <w:rFonts w:ascii="Cambria Math" w:hAnsi="Cambria Math"/>
                      </w:rPr>
                      <m:t>ζ</m:t>
                    </m:r>
                  </m:e>
                  <m:sub>
                    <m:r>
                      <w:rPr>
                        <w:rFonts w:ascii="Cambria Math" w:hAnsi="Cambria Math"/>
                      </w:rPr>
                      <m:t>k</m:t>
                    </m:r>
                  </m:sub>
                </m:sSub>
              </m:e>
            </m:rad>
            <m:d>
              <m:dPr>
                <m:ctrlPr>
                  <w:rPr>
                    <w:rFonts w:ascii="Cambria Math" w:hAnsi="Cambria Math"/>
                    <w:i/>
                  </w:rPr>
                </m:ctrlPr>
              </m:dPr>
              <m:e>
                <m:sSub>
                  <m:sSubPr>
                    <m:ctrlPr>
                      <w:rPr>
                        <w:rFonts w:ascii="Cambria Math" w:hAnsi="Cambria Math"/>
                        <w:i/>
                      </w:rPr>
                    </m:ctrlPr>
                  </m:sSubPr>
                  <m:e>
                    <m:r>
                      <w:rPr>
                        <w:rFonts w:ascii="Cambria Math" w:hAnsi="Cambria Math"/>
                      </w:rPr>
                      <m:t>ζ</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T</m:t>
                    </m:r>
                  </m:sub>
                </m:sSub>
                <m:sSub>
                  <m:sSubPr>
                    <m:ctrlPr>
                      <w:rPr>
                        <w:rFonts w:ascii="Cambria Math" w:hAnsi="Cambria Math"/>
                        <w:i/>
                      </w:rPr>
                    </m:ctrlPr>
                  </m:sSubPr>
                  <m:e>
                    <m:r>
                      <w:rPr>
                        <w:rFonts w:ascii="Cambria Math" w:hAnsi="Cambria Math"/>
                      </w:rPr>
                      <m:t>ζ</m:t>
                    </m:r>
                  </m:e>
                  <m:sub>
                    <m:r>
                      <w:rPr>
                        <w:rFonts w:ascii="Cambria Math" w:hAnsi="Cambria Math"/>
                      </w:rPr>
                      <m:t>k</m:t>
                    </m:r>
                  </m:sub>
                </m:sSub>
              </m:e>
            </m:d>
            <m:sSubSup>
              <m:sSubSupPr>
                <m:ctrlPr>
                  <w:rPr>
                    <w:rFonts w:ascii="Cambria Math" w:hAnsi="Cambria Math"/>
                    <w:i/>
                  </w:rPr>
                </m:ctrlPr>
              </m:sSubSupPr>
              <m:e>
                <m:r>
                  <w:rPr>
                    <w:rFonts w:ascii="Cambria Math" w:hAnsi="Cambria Math"/>
                  </w:rPr>
                  <m:t>λ</m:t>
                </m:r>
              </m:e>
              <m:sub>
                <m:r>
                  <w:rPr>
                    <w:rFonts w:ascii="Cambria Math" w:hAnsi="Cambria Math"/>
                  </w:rPr>
                  <m:t>T</m:t>
                </m:r>
              </m:sub>
              <m:sup>
                <m:r>
                  <w:rPr>
                    <w:rFonts w:ascii="Cambria Math" w:hAnsi="Cambria Math"/>
                  </w:rPr>
                  <m:t>1.5</m:t>
                </m:r>
              </m:sup>
            </m:sSubSup>
          </m:num>
          <m:den>
            <m:sSup>
              <m:sSupPr>
                <m:ctrlPr>
                  <w:rPr>
                    <w:rFonts w:ascii="Cambria Math" w:hAnsi="Cambria Math"/>
                    <w:i/>
                  </w:rPr>
                </m:ctrlPr>
              </m:sSupPr>
              <m:e>
                <m:d>
                  <m:dPr>
                    <m:ctrlPr>
                      <w:rPr>
                        <w:rFonts w:ascii="Cambria Math" w:hAnsi="Cambria Math"/>
                        <w:i/>
                      </w:rPr>
                    </m:ctrlPr>
                  </m:dPr>
                  <m:e>
                    <m:r>
                      <w:rPr>
                        <w:rFonts w:ascii="Cambria Math" w:hAnsi="Cambria Math"/>
                      </w:rPr>
                      <m:t>1-</m:t>
                    </m:r>
                    <m:sSubSup>
                      <m:sSubSupPr>
                        <m:ctrlPr>
                          <w:rPr>
                            <w:rFonts w:ascii="Cambria Math" w:hAnsi="Cambria Math"/>
                            <w:i/>
                          </w:rPr>
                        </m:ctrlPr>
                      </m:sSubSupPr>
                      <m:e>
                        <m:r>
                          <w:rPr>
                            <w:rFonts w:ascii="Cambria Math" w:hAnsi="Cambria Math"/>
                          </w:rPr>
                          <m:t>λ</m:t>
                        </m:r>
                      </m:e>
                      <m:sub>
                        <m:r>
                          <w:rPr>
                            <w:rFonts w:ascii="Cambria Math" w:hAnsi="Cambria Math"/>
                          </w:rPr>
                          <m:t>T</m:t>
                        </m:r>
                      </m:sub>
                      <m:sup>
                        <m:r>
                          <w:rPr>
                            <w:rFonts w:ascii="Cambria Math" w:hAnsi="Cambria Math"/>
                          </w:rPr>
                          <m:t>2</m:t>
                        </m:r>
                      </m:sup>
                    </m:sSubSup>
                  </m:e>
                </m:d>
              </m:e>
              <m:sup>
                <m:r>
                  <w:rPr>
                    <w:rFonts w:ascii="Cambria Math" w:hAnsi="Cambria Math"/>
                  </w:rPr>
                  <m:t>2</m:t>
                </m:r>
              </m:sup>
            </m:sSup>
            <m:r>
              <w:rPr>
                <w:rFonts w:ascii="Cambria Math" w:hAnsi="Cambria Math"/>
              </w:rPr>
              <m:t>+4</m:t>
            </m:r>
            <m:sSub>
              <m:sSubPr>
                <m:ctrlPr>
                  <w:rPr>
                    <w:rFonts w:ascii="Cambria Math" w:hAnsi="Cambria Math"/>
                    <w:i/>
                  </w:rPr>
                </m:ctrlPr>
              </m:sSubPr>
              <m:e>
                <m:r>
                  <w:rPr>
                    <w:rFonts w:ascii="Cambria Math" w:hAnsi="Cambria Math"/>
                  </w:rPr>
                  <m:t>ζ</m:t>
                </m:r>
              </m:e>
              <m:sub>
                <m:r>
                  <w:rPr>
                    <w:rFonts w:ascii="Cambria Math" w:hAnsi="Cambria Math"/>
                  </w:rPr>
                  <m:t>j</m:t>
                </m:r>
              </m:sub>
            </m:sSub>
            <m:sSub>
              <m:sSubPr>
                <m:ctrlPr>
                  <w:rPr>
                    <w:rFonts w:ascii="Cambria Math" w:hAnsi="Cambria Math"/>
                    <w:i/>
                  </w:rPr>
                </m:ctrlPr>
              </m:sSubPr>
              <m:e>
                <m:r>
                  <w:rPr>
                    <w:rFonts w:ascii="Cambria Math" w:hAnsi="Cambria Math"/>
                  </w:rPr>
                  <m:t>ζ</m:t>
                </m:r>
              </m:e>
              <m:sub>
                <m:r>
                  <w:rPr>
                    <w:rFonts w:ascii="Cambria Math" w:hAnsi="Cambria Math"/>
                  </w:rPr>
                  <m:t>k</m:t>
                </m:r>
              </m:sub>
            </m:sSub>
            <m:d>
              <m:dPr>
                <m:ctrlPr>
                  <w:rPr>
                    <w:rFonts w:ascii="Cambria Math" w:hAnsi="Cambria Math"/>
                    <w:i/>
                  </w:rPr>
                </m:ctrlPr>
              </m:dPr>
              <m:e>
                <m:r>
                  <w:rPr>
                    <w:rFonts w:ascii="Cambria Math" w:hAnsi="Cambria Math"/>
                  </w:rPr>
                  <m:t>1+</m:t>
                </m:r>
                <m:sSubSup>
                  <m:sSubSupPr>
                    <m:ctrlPr>
                      <w:rPr>
                        <w:rFonts w:ascii="Cambria Math" w:hAnsi="Cambria Math"/>
                        <w:i/>
                      </w:rPr>
                    </m:ctrlPr>
                  </m:sSubSupPr>
                  <m:e>
                    <m:r>
                      <w:rPr>
                        <w:rFonts w:ascii="Cambria Math" w:hAnsi="Cambria Math"/>
                      </w:rPr>
                      <m:t>λ</m:t>
                    </m:r>
                  </m:e>
                  <m:sub>
                    <m:r>
                      <w:rPr>
                        <w:rFonts w:ascii="Cambria Math" w:hAnsi="Cambria Math"/>
                      </w:rPr>
                      <m:t>T</m:t>
                    </m:r>
                  </m:sub>
                  <m:sup>
                    <m:r>
                      <w:rPr>
                        <w:rFonts w:ascii="Cambria Math" w:hAnsi="Cambria Math"/>
                      </w:rPr>
                      <m:t>2</m:t>
                    </m:r>
                  </m:sup>
                </m:sSubSup>
              </m:e>
            </m:d>
            <m:sSub>
              <m:sSubPr>
                <m:ctrlPr>
                  <w:rPr>
                    <w:rFonts w:ascii="Cambria Math" w:hAnsi="Cambria Math"/>
                    <w:i/>
                  </w:rPr>
                </m:ctrlPr>
              </m:sSubPr>
              <m:e>
                <m:r>
                  <w:rPr>
                    <w:rFonts w:ascii="Cambria Math" w:hAnsi="Cambria Math"/>
                  </w:rPr>
                  <m:t>λ</m:t>
                </m:r>
              </m:e>
              <m:sub>
                <m:r>
                  <w:rPr>
                    <w:rFonts w:ascii="Cambria Math" w:hAnsi="Cambria Math"/>
                  </w:rPr>
                  <m:t>T</m:t>
                </m:r>
              </m:sub>
            </m:sSub>
            <m:r>
              <w:rPr>
                <w:rFonts w:ascii="Cambria Math" w:hAnsi="Cambria Math"/>
              </w:rPr>
              <m:t>+4</m:t>
            </m:r>
            <m:d>
              <m:dPr>
                <m:ctrlPr>
                  <w:rPr>
                    <w:rFonts w:ascii="Cambria Math" w:hAnsi="Cambria Math"/>
                    <w:i/>
                  </w:rPr>
                </m:ctrlPr>
              </m:dPr>
              <m:e>
                <m:sSubSup>
                  <m:sSubSupPr>
                    <m:ctrlPr>
                      <w:rPr>
                        <w:rFonts w:ascii="Cambria Math" w:hAnsi="Cambria Math"/>
                        <w:i/>
                      </w:rPr>
                    </m:ctrlPr>
                  </m:sSubSupPr>
                  <m:e>
                    <m:r>
                      <w:rPr>
                        <w:rFonts w:ascii="Cambria Math" w:hAnsi="Cambria Math"/>
                      </w:rPr>
                      <m:t>ζ</m:t>
                    </m:r>
                  </m:e>
                  <m:sub>
                    <m:r>
                      <w:rPr>
                        <w:rFonts w:ascii="Cambria Math" w:hAnsi="Cambria Math"/>
                      </w:rPr>
                      <m:t>j</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ζ</m:t>
                    </m:r>
                  </m:e>
                  <m:sub>
                    <m:r>
                      <w:rPr>
                        <w:rFonts w:ascii="Cambria Math" w:hAnsi="Cambria Math"/>
                      </w:rPr>
                      <m:t>k</m:t>
                    </m:r>
                  </m:sub>
                  <m:sup>
                    <m:r>
                      <w:rPr>
                        <w:rFonts w:ascii="Cambria Math" w:hAnsi="Cambria Math"/>
                      </w:rPr>
                      <m:t>2</m:t>
                    </m:r>
                  </m:sup>
                </m:sSubSup>
              </m:e>
            </m:d>
            <m:sSubSup>
              <m:sSubSupPr>
                <m:ctrlPr>
                  <w:rPr>
                    <w:rFonts w:ascii="Cambria Math" w:hAnsi="Cambria Math"/>
                    <w:i/>
                  </w:rPr>
                </m:ctrlPr>
              </m:sSubSupPr>
              <m:e>
                <m:r>
                  <w:rPr>
                    <w:rFonts w:ascii="Cambria Math" w:hAnsi="Cambria Math"/>
                  </w:rPr>
                  <m:t>λ</m:t>
                </m:r>
              </m:e>
              <m:sub>
                <m:r>
                  <w:rPr>
                    <w:rFonts w:ascii="Cambria Math" w:hAnsi="Cambria Math"/>
                  </w:rPr>
                  <m:t>T</m:t>
                </m:r>
              </m:sub>
              <m:sup>
                <m:r>
                  <w:rPr>
                    <w:rFonts w:ascii="Cambria Math" w:hAnsi="Cambria Math"/>
                  </w:rPr>
                  <m:t>2</m:t>
                </m:r>
              </m:sup>
            </m:sSubSup>
          </m:den>
        </m:f>
        <m:d>
          <m:dPr>
            <m:ctrlPr>
              <w:rPr>
                <w:rFonts w:ascii="Cambria Math" w:hAnsi="Cambria Math"/>
                <w:i/>
              </w:rPr>
            </m:ctrlPr>
          </m:dPr>
          <m:e>
            <m:r>
              <w:rPr>
                <w:rFonts w:ascii="Cambria Math" w:hAnsi="Cambria Math"/>
              </w:rPr>
              <m:t>1+</m:t>
            </m:r>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T</m:t>
                    </m:r>
                  </m:sub>
                  <m:sup>
                    <m:r>
                      <w:rPr>
                        <w:rFonts w:ascii="Cambria Math" w:hAnsi="Cambria Math"/>
                      </w:rPr>
                      <m:t>2</m:t>
                    </m:r>
                  </m:sup>
                </m:sSubSup>
                <m:r>
                  <w:rPr>
                    <w:rFonts w:ascii="Cambria Math" w:hAnsi="Cambria Math"/>
                  </w:rPr>
                  <m:t>-1</m:t>
                </m:r>
              </m:num>
              <m:den>
                <m:sSub>
                  <m:sSubPr>
                    <m:ctrlPr>
                      <w:rPr>
                        <w:rFonts w:ascii="Cambria Math" w:hAnsi="Cambria Math"/>
                        <w:i/>
                      </w:rPr>
                    </m:ctrlPr>
                  </m:sSubPr>
                  <m:e>
                    <m:r>
                      <w:rPr>
                        <w:rFonts w:ascii="Cambria Math" w:hAnsi="Cambria Math"/>
                      </w:rPr>
                      <m:t>ζ</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T</m:t>
                    </m:r>
                  </m:sub>
                </m:sSub>
                <m:sSub>
                  <m:sSubPr>
                    <m:ctrlPr>
                      <w:rPr>
                        <w:rFonts w:ascii="Cambria Math" w:hAnsi="Cambria Math"/>
                        <w:i/>
                      </w:rPr>
                    </m:ctrlPr>
                  </m:sSubPr>
                  <m:e>
                    <m:r>
                      <w:rPr>
                        <w:rFonts w:ascii="Cambria Math" w:hAnsi="Cambria Math"/>
                      </w:rPr>
                      <m:t>ζ</m:t>
                    </m:r>
                  </m:e>
                  <m:sub>
                    <m:r>
                      <w:rPr>
                        <w:rFonts w:ascii="Cambria Math" w:hAnsi="Cambria Math"/>
                      </w:rPr>
                      <m:t>k</m:t>
                    </m:r>
                  </m:sub>
                </m:sSub>
              </m:den>
            </m:f>
            <m:sSub>
              <m:sSubPr>
                <m:ctrlPr>
                  <w:rPr>
                    <w:rFonts w:ascii="Cambria Math" w:hAnsi="Cambria Math"/>
                    <w:i/>
                  </w:rPr>
                </m:ctrlPr>
              </m:sSubPr>
              <m:e>
                <m:r>
                  <w:rPr>
                    <w:rFonts w:ascii="Cambria Math" w:hAnsi="Cambria Math"/>
                  </w:rPr>
                  <m:t>ι</m:t>
                </m:r>
              </m:e>
              <m:sub>
                <m:r>
                  <w:rPr>
                    <w:rFonts w:ascii="Cambria Math" w:hAnsi="Cambria Math"/>
                  </w:rPr>
                  <m:t>j</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ζ</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T</m:t>
                    </m:r>
                  </m:sub>
                </m:sSub>
                <m:sSub>
                  <m:sSubPr>
                    <m:ctrlPr>
                      <w:rPr>
                        <w:rFonts w:ascii="Cambria Math" w:hAnsi="Cambria Math"/>
                        <w:i/>
                      </w:rPr>
                    </m:ctrlPr>
                  </m:sSubPr>
                  <m:e>
                    <m:r>
                      <w:rPr>
                        <w:rFonts w:ascii="Cambria Math" w:hAnsi="Cambria Math"/>
                      </w:rPr>
                      <m:t>ζ</m:t>
                    </m:r>
                  </m:e>
                  <m:sub>
                    <m:r>
                      <w:rPr>
                        <w:rFonts w:ascii="Cambria Math" w:hAnsi="Cambria Math"/>
                      </w:rPr>
                      <m:t>j</m:t>
                    </m:r>
                  </m:sub>
                </m:sSub>
              </m:num>
              <m:den>
                <m:sSub>
                  <m:sSubPr>
                    <m:ctrlPr>
                      <w:rPr>
                        <w:rFonts w:ascii="Cambria Math" w:hAnsi="Cambria Math"/>
                        <w:i/>
                      </w:rPr>
                    </m:ctrlPr>
                  </m:sSubPr>
                  <m:e>
                    <m:r>
                      <w:rPr>
                        <w:rFonts w:ascii="Cambria Math" w:hAnsi="Cambria Math"/>
                      </w:rPr>
                      <m:t>ζ</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T</m:t>
                    </m:r>
                  </m:sub>
                </m:sSub>
                <m:sSub>
                  <m:sSubPr>
                    <m:ctrlPr>
                      <w:rPr>
                        <w:rFonts w:ascii="Cambria Math" w:hAnsi="Cambria Math"/>
                        <w:i/>
                      </w:rPr>
                    </m:ctrlPr>
                  </m:sSubPr>
                  <m:e>
                    <m:r>
                      <w:rPr>
                        <w:rFonts w:ascii="Cambria Math" w:hAnsi="Cambria Math"/>
                      </w:rPr>
                      <m:t>ζ</m:t>
                    </m:r>
                  </m:e>
                  <m:sub>
                    <m:r>
                      <w:rPr>
                        <w:rFonts w:ascii="Cambria Math" w:hAnsi="Cambria Math"/>
                      </w:rPr>
                      <m:t>k</m:t>
                    </m:r>
                  </m:sub>
                </m:sSub>
              </m:den>
            </m:f>
            <m:sSub>
              <m:sSubPr>
                <m:ctrlPr>
                  <w:rPr>
                    <w:rFonts w:ascii="Cambria Math" w:hAnsi="Cambria Math"/>
                    <w:i/>
                  </w:rPr>
                </m:ctrlPr>
              </m:sSubPr>
              <m:e>
                <m:r>
                  <w:rPr>
                    <w:rFonts w:ascii="Cambria Math" w:hAnsi="Cambria Math"/>
                  </w:rPr>
                  <m:t>ι</m:t>
                </m:r>
              </m:e>
              <m:sub>
                <m:r>
                  <w:rPr>
                    <w:rFonts w:ascii="Cambria Math" w:hAnsi="Cambria Math"/>
                  </w:rPr>
                  <m:t>k</m:t>
                </m:r>
              </m:sub>
            </m:sSub>
            <m:sSub>
              <m:sSubPr>
                <m:ctrlPr>
                  <w:rPr>
                    <w:rFonts w:ascii="Cambria Math" w:hAnsi="Cambria Math"/>
                    <w:i/>
                  </w:rPr>
                </m:ctrlPr>
              </m:sSubPr>
              <m:e>
                <m:r>
                  <w:rPr>
                    <w:rFonts w:ascii="Cambria Math" w:hAnsi="Cambria Math"/>
                  </w:rPr>
                  <m:t>ι</m:t>
                </m:r>
              </m:e>
              <m:sub>
                <m:r>
                  <w:rPr>
                    <w:rFonts w:ascii="Cambria Math" w:hAnsi="Cambria Math"/>
                  </w:rPr>
                  <m:t>j</m:t>
                </m:r>
              </m:sub>
            </m:sSub>
          </m:e>
        </m:d>
      </m:oMath>
      <w:r w:rsidRPr="00DC2CC9">
        <w:rPr>
          <w:rFonts w:ascii="Times New Roman" w:hAnsi="Times New Roman" w:hint="eastAsia"/>
        </w:rPr>
        <w:t xml:space="preserve"> </w:t>
      </w:r>
      <w:r w:rsidRPr="00DC2CC9">
        <w:rPr>
          <w:rFonts w:ascii="Times New Roman" w:hAnsi="Times New Roman" w:hint="eastAsia"/>
        </w:rPr>
        <w:t>··········（</w:t>
      </w:r>
      <w:r w:rsidRPr="00DC2CC9">
        <w:rPr>
          <w:rFonts w:ascii="Times New Roman" w:hAnsi="Times New Roman" w:hint="eastAsia"/>
        </w:rPr>
        <w:t>9</w:t>
      </w:r>
      <w:r w:rsidRPr="00DC2CC9">
        <w:rPr>
          <w:rFonts w:ascii="Times New Roman" w:hAnsi="Times New Roman" w:hint="eastAsia"/>
        </w:rPr>
        <w:t>）</w:t>
      </w:r>
    </w:p>
    <w:p w14:paraId="7A54A2F4" w14:textId="77777777" w:rsidR="00C07AE1" w:rsidRPr="00DC2CC9" w:rsidRDefault="00C07AE1" w:rsidP="009A1A20">
      <w:pPr>
        <w:ind w:leftChars="350" w:left="735" w:firstLineChars="300" w:firstLine="630"/>
        <w:rPr>
          <w:rFonts w:ascii="Times New Roman" w:hAnsi="Times New Roman"/>
        </w:rPr>
      </w:pPr>
      <w:r w:rsidRPr="00DC2CC9">
        <w:rPr>
          <w:rFonts w:ascii="Times New Roman" w:hAnsi="Times New Roman" w:hint="eastAsia"/>
        </w:rPr>
        <w:t>式中：</w:t>
      </w:r>
    </w:p>
    <w:p w14:paraId="1BFC544B" w14:textId="77777777" w:rsidR="00C07AE1" w:rsidRPr="00DC2CC9" w:rsidRDefault="00C07AE1" w:rsidP="009A1A20">
      <w:pPr>
        <w:ind w:leftChars="350" w:left="735" w:firstLineChars="500" w:firstLine="1050"/>
        <w:rPr>
          <w:rFonts w:ascii="Times New Roman" w:hAnsi="Times New Roman"/>
        </w:rPr>
      </w:pPr>
      <w:r w:rsidRPr="00DC2CC9">
        <w:rPr>
          <w:rFonts w:ascii="Times New Roman" w:hAnsi="Times New Roman" w:hint="eastAsia"/>
        </w:rPr>
        <w:t>S</w:t>
      </w:r>
      <w:r w:rsidRPr="00DC2CC9">
        <w:rPr>
          <w:rFonts w:ascii="Times New Roman" w:hAnsi="Times New Roman" w:hint="eastAsia"/>
          <w:vertAlign w:val="subscript"/>
        </w:rPr>
        <w:t xml:space="preserve">Ek </w:t>
      </w:r>
      <w:r w:rsidRPr="00DC2CC9">
        <w:rPr>
          <w:rFonts w:ascii="Times New Roman" w:hAnsi="Times New Roman" w:hint="eastAsia"/>
        </w:rPr>
        <w:t>——</w:t>
      </w:r>
      <w:r w:rsidRPr="00DC2CC9">
        <w:rPr>
          <w:rFonts w:ascii="Times New Roman" w:hAnsi="Times New Roman" w:hint="eastAsia"/>
        </w:rPr>
        <w:t xml:space="preserve"> </w:t>
      </w:r>
      <w:r w:rsidRPr="00DC2CC9">
        <w:rPr>
          <w:rFonts w:ascii="Times New Roman" w:hAnsi="Times New Roman" w:hint="eastAsia"/>
        </w:rPr>
        <w:t>地震作用标准值的组合效应，单位为牛顿（</w:t>
      </w:r>
      <w:r w:rsidRPr="00DC2CC9">
        <w:rPr>
          <w:rFonts w:ascii="Times New Roman" w:hAnsi="Times New Roman" w:hint="eastAsia"/>
        </w:rPr>
        <w:t>N</w:t>
      </w:r>
      <w:r w:rsidRPr="00DC2CC9">
        <w:rPr>
          <w:rFonts w:ascii="Times New Roman" w:hAnsi="Times New Roman" w:hint="eastAsia"/>
        </w:rPr>
        <w:t>）；</w:t>
      </w:r>
    </w:p>
    <w:p w14:paraId="3A3A7938" w14:textId="77777777" w:rsidR="00C07AE1" w:rsidRPr="00DC2CC9" w:rsidRDefault="00C07AE1" w:rsidP="009A1A20">
      <w:pPr>
        <w:ind w:leftChars="750" w:left="2415" w:hangingChars="400" w:hanging="840"/>
        <w:rPr>
          <w:rFonts w:ascii="Times New Roman" w:hAnsi="Times New Roman"/>
        </w:rPr>
      </w:pPr>
      <w:r w:rsidRPr="00DC2CC9">
        <w:rPr>
          <w:rFonts w:ascii="Times New Roman" w:hAnsi="Times New Roman" w:hint="eastAsia"/>
        </w:rPr>
        <w:t>S</w:t>
      </w:r>
      <w:r w:rsidRPr="00DC2CC9">
        <w:rPr>
          <w:rFonts w:ascii="Times New Roman" w:hAnsi="Times New Roman" w:hint="eastAsia"/>
          <w:vertAlign w:val="subscript"/>
        </w:rPr>
        <w:t>j</w:t>
      </w:r>
      <w:r w:rsidRPr="00DC2CC9">
        <w:rPr>
          <w:rFonts w:ascii="Times New Roman" w:hAnsi="Times New Roman" w:hint="eastAsia"/>
        </w:rPr>
        <w:t>，</w:t>
      </w:r>
      <w:r w:rsidRPr="00DC2CC9">
        <w:rPr>
          <w:rFonts w:ascii="Times New Roman" w:hAnsi="Times New Roman" w:hint="eastAsia"/>
        </w:rPr>
        <w:t>S</w:t>
      </w:r>
      <w:r w:rsidRPr="00DC2CC9">
        <w:rPr>
          <w:rFonts w:ascii="Times New Roman" w:hAnsi="Times New Roman" w:hint="eastAsia"/>
          <w:vertAlign w:val="subscript"/>
        </w:rPr>
        <w:t xml:space="preserve">k </w:t>
      </w:r>
      <w:r w:rsidRPr="00DC2CC9">
        <w:rPr>
          <w:rFonts w:ascii="Times New Roman" w:hAnsi="Times New Roman" w:hint="eastAsia"/>
        </w:rPr>
        <w:t>——</w:t>
      </w:r>
      <w:r w:rsidRPr="00DC2CC9">
        <w:rPr>
          <w:rFonts w:ascii="Times New Roman" w:hAnsi="Times New Roman" w:hint="eastAsia"/>
        </w:rPr>
        <w:t xml:space="preserve"> </w:t>
      </w:r>
      <w:r w:rsidRPr="00DC2CC9">
        <w:rPr>
          <w:rFonts w:ascii="Times New Roman" w:hAnsi="Times New Roman" w:hint="eastAsia"/>
        </w:rPr>
        <w:t>分别为</w:t>
      </w:r>
      <w:r w:rsidRPr="00DC2CC9">
        <w:rPr>
          <w:rFonts w:ascii="Times New Roman" w:hAnsi="Times New Roman" w:hint="eastAsia"/>
        </w:rPr>
        <w:t>j</w:t>
      </w:r>
      <w:r w:rsidRPr="00DC2CC9">
        <w:rPr>
          <w:rFonts w:ascii="Times New Roman" w:hAnsi="Times New Roman" w:hint="eastAsia"/>
        </w:rPr>
        <w:t>振型和</w:t>
      </w:r>
      <w:r w:rsidRPr="00DC2CC9">
        <w:rPr>
          <w:rFonts w:ascii="Times New Roman" w:hAnsi="Times New Roman" w:hint="eastAsia"/>
        </w:rPr>
        <w:t>k</w:t>
      </w:r>
      <w:r w:rsidRPr="00DC2CC9">
        <w:rPr>
          <w:rFonts w:ascii="Times New Roman" w:hAnsi="Times New Roman" w:hint="eastAsia"/>
        </w:rPr>
        <w:t>振型水平地震作用标准值的效应，单位为牛顿（</w:t>
      </w:r>
      <w:r w:rsidRPr="00DC2CC9">
        <w:rPr>
          <w:rFonts w:ascii="Times New Roman" w:hAnsi="Times New Roman" w:hint="eastAsia"/>
        </w:rPr>
        <w:t>N</w:t>
      </w:r>
      <w:r w:rsidRPr="00DC2CC9">
        <w:rPr>
          <w:rFonts w:ascii="Times New Roman" w:hAnsi="Times New Roman" w:hint="eastAsia"/>
        </w:rPr>
        <w:t>），可根据振型参与质量系数确定参与计算的振型数；</w:t>
      </w:r>
    </w:p>
    <w:p w14:paraId="7049271E" w14:textId="77777777" w:rsidR="00C07AE1" w:rsidRPr="00DC2CC9" w:rsidRDefault="00C07AE1" w:rsidP="009A1A20">
      <w:pPr>
        <w:ind w:leftChars="350" w:left="735" w:firstLineChars="500" w:firstLine="1050"/>
        <w:rPr>
          <w:rFonts w:ascii="Times New Roman" w:hAnsi="Times New Roman"/>
        </w:rPr>
      </w:pPr>
      <w:r w:rsidRPr="00DC2CC9">
        <w:rPr>
          <w:rFonts w:ascii="Times New Roman" w:hAnsi="Times New Roman" w:hint="eastAsia"/>
        </w:rPr>
        <w:t>ρ</w:t>
      </w:r>
      <w:r w:rsidRPr="00DC2CC9">
        <w:rPr>
          <w:rFonts w:ascii="Times New Roman" w:hAnsi="Times New Roman" w:hint="eastAsia"/>
          <w:vertAlign w:val="subscript"/>
        </w:rPr>
        <w:t xml:space="preserve">jk </w:t>
      </w:r>
      <w:r w:rsidRPr="00DC2CC9">
        <w:rPr>
          <w:rFonts w:ascii="Times New Roman" w:hAnsi="Times New Roman" w:hint="eastAsia"/>
        </w:rPr>
        <w:t>——</w:t>
      </w:r>
      <w:r w:rsidRPr="00DC2CC9">
        <w:rPr>
          <w:rFonts w:ascii="Times New Roman" w:hAnsi="Times New Roman" w:hint="eastAsia"/>
        </w:rPr>
        <w:t xml:space="preserve"> j</w:t>
      </w:r>
      <w:r w:rsidRPr="00DC2CC9">
        <w:rPr>
          <w:rFonts w:ascii="Times New Roman" w:hAnsi="Times New Roman" w:hint="eastAsia"/>
        </w:rPr>
        <w:t>振型和</w:t>
      </w:r>
      <w:r w:rsidRPr="00DC2CC9">
        <w:rPr>
          <w:rFonts w:ascii="Times New Roman" w:hAnsi="Times New Roman" w:hint="eastAsia"/>
        </w:rPr>
        <w:t>k</w:t>
      </w:r>
      <w:r w:rsidRPr="00DC2CC9">
        <w:rPr>
          <w:rFonts w:ascii="Times New Roman" w:hAnsi="Times New Roman" w:hint="eastAsia"/>
        </w:rPr>
        <w:t>振型的耦联系数；</w:t>
      </w:r>
    </w:p>
    <w:p w14:paraId="416E9891" w14:textId="77777777" w:rsidR="00C07AE1" w:rsidRPr="00DC2CC9" w:rsidRDefault="00C07AE1" w:rsidP="009A1A20">
      <w:pPr>
        <w:ind w:leftChars="350" w:left="735" w:firstLineChars="300" w:firstLine="630"/>
        <w:rPr>
          <w:rFonts w:ascii="Times New Roman" w:hAnsi="Times New Roman"/>
        </w:rPr>
      </w:pPr>
      <w:r w:rsidRPr="00DC2CC9">
        <w:rPr>
          <w:rFonts w:ascii="Times New Roman" w:hAnsi="Times New Roman" w:hint="eastAsia"/>
        </w:rPr>
        <w:t>ζ</w:t>
      </w:r>
      <w:r w:rsidRPr="00DC2CC9">
        <w:rPr>
          <w:rFonts w:ascii="Times New Roman" w:hAnsi="Times New Roman" w:hint="eastAsia"/>
          <w:vertAlign w:val="subscript"/>
        </w:rPr>
        <w:t>j</w:t>
      </w:r>
      <w:r w:rsidRPr="00DC2CC9">
        <w:rPr>
          <w:rFonts w:ascii="Times New Roman" w:hAnsi="Times New Roman" w:hint="eastAsia"/>
        </w:rPr>
        <w:t>，ζ</w:t>
      </w:r>
      <w:r w:rsidRPr="00DC2CC9">
        <w:rPr>
          <w:rFonts w:ascii="Times New Roman" w:hAnsi="Times New Roman" w:hint="eastAsia"/>
          <w:vertAlign w:val="subscript"/>
        </w:rPr>
        <w:t xml:space="preserve">k </w:t>
      </w:r>
      <w:r w:rsidRPr="00DC2CC9">
        <w:rPr>
          <w:rFonts w:ascii="Times New Roman" w:hAnsi="Times New Roman" w:hint="eastAsia"/>
        </w:rPr>
        <w:t>——</w:t>
      </w:r>
      <w:r w:rsidRPr="00DC2CC9">
        <w:rPr>
          <w:rFonts w:ascii="Times New Roman" w:hAnsi="Times New Roman" w:hint="eastAsia"/>
        </w:rPr>
        <w:t xml:space="preserve"> </w:t>
      </w:r>
      <w:r w:rsidRPr="00DC2CC9">
        <w:rPr>
          <w:rFonts w:ascii="Times New Roman" w:hAnsi="Times New Roman" w:hint="eastAsia"/>
        </w:rPr>
        <w:t>分别为</w:t>
      </w:r>
      <w:r w:rsidRPr="00DC2CC9">
        <w:rPr>
          <w:rFonts w:ascii="Times New Roman" w:hAnsi="Times New Roman" w:hint="eastAsia"/>
        </w:rPr>
        <w:t>j</w:t>
      </w:r>
      <w:r w:rsidRPr="00DC2CC9">
        <w:rPr>
          <w:rFonts w:ascii="Times New Roman" w:hAnsi="Times New Roman" w:hint="eastAsia"/>
        </w:rPr>
        <w:t>振型和</w:t>
      </w:r>
      <w:r w:rsidRPr="00DC2CC9">
        <w:rPr>
          <w:rFonts w:ascii="Times New Roman" w:hAnsi="Times New Roman" w:hint="eastAsia"/>
        </w:rPr>
        <w:t>k</w:t>
      </w:r>
      <w:r w:rsidRPr="00DC2CC9">
        <w:rPr>
          <w:rFonts w:ascii="Times New Roman" w:hAnsi="Times New Roman" w:hint="eastAsia"/>
        </w:rPr>
        <w:t>振型的阻尼比；</w:t>
      </w:r>
    </w:p>
    <w:p w14:paraId="4ADFD774" w14:textId="77777777" w:rsidR="00C07AE1" w:rsidRPr="00DC2CC9" w:rsidRDefault="00C07AE1" w:rsidP="009A1A20">
      <w:pPr>
        <w:ind w:leftChars="350" w:left="735" w:firstLineChars="500" w:firstLine="1050"/>
        <w:rPr>
          <w:rFonts w:ascii="Times New Roman" w:hAnsi="Times New Roman"/>
        </w:rPr>
      </w:pPr>
      <w:r w:rsidRPr="00DC2CC9">
        <w:rPr>
          <w:rFonts w:ascii="Times New Roman" w:hAnsi="Times New Roman" w:hint="eastAsia"/>
        </w:rPr>
        <w:t>λ</w:t>
      </w:r>
      <w:r w:rsidRPr="00DC2CC9">
        <w:rPr>
          <w:rFonts w:ascii="Times New Roman" w:hAnsi="Times New Roman" w:hint="eastAsia"/>
          <w:vertAlign w:val="subscript"/>
        </w:rPr>
        <w:t xml:space="preserve">T </w:t>
      </w:r>
      <w:r w:rsidRPr="00DC2CC9">
        <w:rPr>
          <w:rFonts w:ascii="Times New Roman" w:hAnsi="Times New Roman" w:hint="eastAsia"/>
        </w:rPr>
        <w:t>——</w:t>
      </w:r>
      <w:r w:rsidRPr="00DC2CC9">
        <w:rPr>
          <w:rFonts w:ascii="Times New Roman" w:hAnsi="Times New Roman" w:hint="eastAsia"/>
        </w:rPr>
        <w:t xml:space="preserve"> k</w:t>
      </w:r>
      <w:r w:rsidRPr="00DC2CC9">
        <w:rPr>
          <w:rFonts w:ascii="Times New Roman" w:hAnsi="Times New Roman" w:hint="eastAsia"/>
        </w:rPr>
        <w:t>振型与</w:t>
      </w:r>
      <w:r w:rsidRPr="00DC2CC9">
        <w:rPr>
          <w:rFonts w:ascii="Times New Roman" w:hAnsi="Times New Roman" w:hint="eastAsia"/>
        </w:rPr>
        <w:t>j</w:t>
      </w:r>
      <w:r w:rsidRPr="00DC2CC9">
        <w:rPr>
          <w:rFonts w:ascii="Times New Roman" w:hAnsi="Times New Roman" w:hint="eastAsia"/>
        </w:rPr>
        <w:t>振型的自振周期比。</w:t>
      </w:r>
    </w:p>
    <w:p w14:paraId="085962BF" w14:textId="77777777" w:rsidR="00C07AE1" w:rsidRPr="00DC2CC9" w:rsidRDefault="00C07AE1" w:rsidP="00A77427">
      <w:pPr>
        <w:pStyle w:val="af6"/>
        <w:rPr>
          <w:rFonts w:ascii="Times New Roman"/>
        </w:rPr>
      </w:pPr>
      <w:r w:rsidRPr="00DC2CC9">
        <w:rPr>
          <w:rFonts w:ascii="Times New Roman" w:hint="eastAsia"/>
        </w:rPr>
        <w:t>双向水平地震作用下的效应可按下列公式中的较大值确定：</w:t>
      </w:r>
    </w:p>
    <w:p w14:paraId="682DF88D" w14:textId="77777777" w:rsidR="00C07AE1" w:rsidRPr="00DC2CC9" w:rsidRDefault="00C07AE1" w:rsidP="00C07AE1">
      <w:pPr>
        <w:spacing w:line="240" w:lineRule="atLeast"/>
        <w:ind w:leftChars="350" w:left="735"/>
        <w:jc w:val="right"/>
        <w:rPr>
          <w:rFonts w:ascii="Times New Roman" w:hAnsi="Times New Roman"/>
        </w:rPr>
      </w:pPr>
      <m:oMath>
        <m:sSub>
          <m:sSubPr>
            <m:ctrlPr>
              <w:rPr>
                <w:rFonts w:ascii="Cambria Math" w:hAnsi="Cambria Math"/>
                <w:i/>
              </w:rPr>
            </m:ctrlPr>
          </m:sSubPr>
          <m:e>
            <m:r>
              <w:rPr>
                <w:rFonts w:ascii="Cambria Math" w:hAnsi="Cambria Math"/>
              </w:rPr>
              <m:t>S</m:t>
            </m:r>
          </m:e>
          <m:sub>
            <m:r>
              <w:rPr>
                <w:rFonts w:ascii="Cambria Math" w:hAnsi="Cambria Math"/>
              </w:rPr>
              <m:t>Ek</m:t>
            </m:r>
          </m:sub>
        </m:sSub>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S</m:t>
                </m:r>
              </m:e>
              <m:sub>
                <m:r>
                  <w:rPr>
                    <w:rFonts w:ascii="Cambria Math" w:hAnsi="Cambria Math"/>
                  </w:rPr>
                  <m:t>x</m:t>
                </m:r>
              </m:sub>
              <m:sup>
                <m:r>
                  <w:rPr>
                    <w:rFonts w:ascii="Cambria Math" w:hAnsi="Cambria Math"/>
                  </w:rPr>
                  <m:t>2</m:t>
                </m:r>
              </m:sup>
            </m:sSub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0.85</m:t>
                    </m:r>
                    <m:sSub>
                      <m:sSubPr>
                        <m:ctrlPr>
                          <w:rPr>
                            <w:rFonts w:ascii="Cambria Math" w:hAnsi="Cambria Math"/>
                            <w:i/>
                          </w:rPr>
                        </m:ctrlPr>
                      </m:sSubPr>
                      <m:e>
                        <m:r>
                          <w:rPr>
                            <w:rFonts w:ascii="Cambria Math" w:hAnsi="Cambria Math"/>
                          </w:rPr>
                          <m:t>S</m:t>
                        </m:r>
                      </m:e>
                      <m:sub>
                        <m:r>
                          <w:rPr>
                            <w:rFonts w:ascii="Cambria Math" w:hAnsi="Cambria Math"/>
                          </w:rPr>
                          <m:t>y</m:t>
                        </m:r>
                      </m:sub>
                    </m:sSub>
                  </m:e>
                </m:d>
              </m:e>
              <m:sup>
                <m:r>
                  <w:rPr>
                    <w:rFonts w:ascii="Cambria Math" w:hAnsi="Cambria Math"/>
                  </w:rPr>
                  <m:t>2</m:t>
                </m:r>
              </m:sup>
            </m:sSup>
          </m:e>
        </m:rad>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10</w:t>
      </w:r>
      <w:r w:rsidRPr="00DC2CC9">
        <w:rPr>
          <w:rFonts w:ascii="Times New Roman" w:hAnsi="Times New Roman" w:hint="eastAsia"/>
        </w:rPr>
        <w:t>）</w:t>
      </w:r>
    </w:p>
    <w:p w14:paraId="46A517C8" w14:textId="77777777" w:rsidR="00C07AE1" w:rsidRPr="00DC2CC9" w:rsidRDefault="00C07AE1" w:rsidP="00C07AE1">
      <w:pPr>
        <w:spacing w:line="240" w:lineRule="atLeast"/>
        <w:ind w:leftChars="350" w:left="735"/>
        <w:jc w:val="right"/>
        <w:rPr>
          <w:rFonts w:ascii="Times New Roman" w:hAnsi="Times New Roman"/>
        </w:rPr>
      </w:pPr>
      <m:oMath>
        <m:sSub>
          <m:sSubPr>
            <m:ctrlPr>
              <w:rPr>
                <w:rFonts w:ascii="Cambria Math" w:hAnsi="Cambria Math"/>
                <w:i/>
              </w:rPr>
            </m:ctrlPr>
          </m:sSubPr>
          <m:e>
            <m:r>
              <w:rPr>
                <w:rFonts w:ascii="Cambria Math" w:hAnsi="Cambria Math"/>
              </w:rPr>
              <m:t>S</m:t>
            </m:r>
          </m:e>
          <m:sub>
            <m:r>
              <w:rPr>
                <w:rFonts w:ascii="Cambria Math" w:hAnsi="Cambria Math"/>
              </w:rPr>
              <m:t>Ek</m:t>
            </m:r>
          </m:sub>
        </m:sSub>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S</m:t>
                </m:r>
              </m:e>
              <m:sub>
                <m:r>
                  <w:rPr>
                    <w:rFonts w:ascii="Cambria Math" w:hAnsi="Cambria Math"/>
                  </w:rPr>
                  <m:t>y</m:t>
                </m:r>
              </m:sub>
              <m:sup>
                <m:r>
                  <w:rPr>
                    <w:rFonts w:ascii="Cambria Math" w:hAnsi="Cambria Math"/>
                  </w:rPr>
                  <m:t>2</m:t>
                </m:r>
              </m:sup>
            </m:sSub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0.85</m:t>
                    </m:r>
                    <m:sSub>
                      <m:sSubPr>
                        <m:ctrlPr>
                          <w:rPr>
                            <w:rFonts w:ascii="Cambria Math" w:hAnsi="Cambria Math"/>
                            <w:i/>
                          </w:rPr>
                        </m:ctrlPr>
                      </m:sSubPr>
                      <m:e>
                        <m:r>
                          <w:rPr>
                            <w:rFonts w:ascii="Cambria Math" w:hAnsi="Cambria Math"/>
                          </w:rPr>
                          <m:t>S</m:t>
                        </m:r>
                      </m:e>
                      <m:sub>
                        <m:r>
                          <w:rPr>
                            <w:rFonts w:ascii="Cambria Math" w:hAnsi="Cambria Math"/>
                          </w:rPr>
                          <m:t>x</m:t>
                        </m:r>
                      </m:sub>
                    </m:sSub>
                  </m:e>
                </m:d>
              </m:e>
              <m:sup>
                <m:r>
                  <w:rPr>
                    <w:rFonts w:ascii="Cambria Math" w:hAnsi="Cambria Math"/>
                  </w:rPr>
                  <m:t>2</m:t>
                </m:r>
              </m:sup>
            </m:sSup>
          </m:e>
        </m:rad>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11</w:t>
      </w:r>
      <w:r w:rsidRPr="00DC2CC9">
        <w:rPr>
          <w:rFonts w:ascii="Times New Roman" w:hAnsi="Times New Roman" w:hint="eastAsia"/>
        </w:rPr>
        <w:t>）</w:t>
      </w:r>
    </w:p>
    <w:p w14:paraId="468E3656" w14:textId="77777777" w:rsidR="00C07AE1" w:rsidRPr="00DC2CC9" w:rsidRDefault="00C07AE1" w:rsidP="00C07AE1">
      <w:pPr>
        <w:ind w:leftChars="350" w:left="735" w:firstLineChars="200" w:firstLine="420"/>
        <w:rPr>
          <w:rFonts w:ascii="Times New Roman" w:hAnsi="Times New Roman"/>
        </w:rPr>
      </w:pPr>
      <w:r w:rsidRPr="00DC2CC9">
        <w:rPr>
          <w:rFonts w:ascii="Times New Roman" w:hAnsi="Times New Roman" w:hint="eastAsia"/>
        </w:rPr>
        <w:t>式中：</w:t>
      </w:r>
    </w:p>
    <w:p w14:paraId="58C7638C" w14:textId="77777777" w:rsidR="00C07AE1" w:rsidRPr="00DC2CC9" w:rsidRDefault="00C07AE1" w:rsidP="00C07AE1">
      <w:pPr>
        <w:ind w:leftChars="550" w:left="2205" w:hangingChars="500" w:hanging="1050"/>
        <w:rPr>
          <w:rFonts w:ascii="Times New Roman" w:hAnsi="Times New Roman"/>
        </w:rPr>
      </w:pPr>
      <w:r w:rsidRPr="00DC2CC9">
        <w:rPr>
          <w:rFonts w:ascii="Times New Roman" w:hAnsi="Times New Roman" w:hint="eastAsia"/>
        </w:rPr>
        <w:t>Sx</w:t>
      </w:r>
      <w:r w:rsidRPr="00DC2CC9">
        <w:rPr>
          <w:rFonts w:ascii="Times New Roman" w:hAnsi="Times New Roman" w:hint="eastAsia"/>
        </w:rPr>
        <w:t>，</w:t>
      </w:r>
      <w:r w:rsidRPr="00DC2CC9">
        <w:rPr>
          <w:rFonts w:ascii="Times New Roman" w:hAnsi="Times New Roman" w:hint="eastAsia"/>
        </w:rPr>
        <w:t>Sy</w:t>
      </w:r>
      <w:r w:rsidRPr="00DC2CC9">
        <w:rPr>
          <w:rFonts w:ascii="Times New Roman" w:hAnsi="Times New Roman" w:hint="eastAsia"/>
        </w:rPr>
        <w:t>——分别为</w:t>
      </w:r>
      <w:r w:rsidRPr="00DC2CC9">
        <w:rPr>
          <w:rFonts w:ascii="Times New Roman" w:hAnsi="Times New Roman" w:hint="eastAsia"/>
        </w:rPr>
        <w:t>x</w:t>
      </w:r>
      <w:r w:rsidRPr="00DC2CC9">
        <w:rPr>
          <w:rFonts w:ascii="Times New Roman" w:hAnsi="Times New Roman" w:hint="eastAsia"/>
        </w:rPr>
        <w:t>向和</w:t>
      </w:r>
      <w:r w:rsidRPr="00DC2CC9">
        <w:rPr>
          <w:rFonts w:ascii="Times New Roman" w:hAnsi="Times New Roman" w:hint="eastAsia"/>
        </w:rPr>
        <w:t>y</w:t>
      </w:r>
      <w:r w:rsidRPr="00DC2CC9">
        <w:rPr>
          <w:rFonts w:ascii="Times New Roman" w:hAnsi="Times New Roman" w:hint="eastAsia"/>
        </w:rPr>
        <w:t>向单向水平地震作用按本导则式（</w:t>
      </w:r>
      <w:r w:rsidRPr="00DC2CC9">
        <w:rPr>
          <w:rFonts w:ascii="Times New Roman" w:hAnsi="Times New Roman" w:hint="eastAsia"/>
        </w:rPr>
        <w:t>8</w:t>
      </w:r>
      <w:r w:rsidRPr="00DC2CC9">
        <w:rPr>
          <w:rFonts w:ascii="Times New Roman" w:hAnsi="Times New Roman" w:hint="eastAsia"/>
        </w:rPr>
        <w:t>）计算的地震效应，单位为牛顿（</w:t>
      </w:r>
      <w:r w:rsidRPr="00DC2CC9">
        <w:rPr>
          <w:rFonts w:ascii="Times New Roman" w:hAnsi="Times New Roman" w:hint="eastAsia"/>
        </w:rPr>
        <w:t>N</w:t>
      </w:r>
      <w:r w:rsidRPr="00DC2CC9">
        <w:rPr>
          <w:rFonts w:ascii="Times New Roman" w:hAnsi="Times New Roman" w:hint="eastAsia"/>
        </w:rPr>
        <w:t>）。</w:t>
      </w:r>
    </w:p>
    <w:p w14:paraId="7442D7AF" w14:textId="2A2F5768" w:rsidR="00C07AE1" w:rsidRPr="00DC2CC9" w:rsidRDefault="00C07AE1" w:rsidP="00C91FC7">
      <w:pPr>
        <w:pStyle w:val="af5"/>
        <w:rPr>
          <w:rFonts w:ascii="Times New Roman"/>
        </w:rPr>
      </w:pPr>
      <w:r w:rsidRPr="00DC2CC9">
        <w:rPr>
          <w:rFonts w:ascii="Times New Roman" w:hint="eastAsia"/>
        </w:rPr>
        <w:t>隔震层阻尼比小于</w:t>
      </w:r>
      <w:r w:rsidRPr="00DC2CC9">
        <w:rPr>
          <w:rFonts w:ascii="Times New Roman" w:hint="eastAsia"/>
        </w:rPr>
        <w:t>10%</w:t>
      </w:r>
      <w:r w:rsidRPr="00DC2CC9">
        <w:rPr>
          <w:rFonts w:ascii="Times New Roman" w:hint="eastAsia"/>
        </w:rPr>
        <w:t>，结构高度不超过</w:t>
      </w:r>
      <w:r w:rsidRPr="00DC2CC9">
        <w:rPr>
          <w:rFonts w:ascii="Times New Roman" w:hint="eastAsia"/>
        </w:rPr>
        <w:t>24 m</w:t>
      </w:r>
      <w:r w:rsidRPr="00DC2CC9">
        <w:rPr>
          <w:rFonts w:ascii="Times New Roman" w:hint="eastAsia"/>
        </w:rPr>
        <w:t>，质量和刚度沿高度分布比较均匀且隔震支座类型单一的隔震建筑，可采用强迫解耦实振型分解反应谱法，按本导则公式（</w:t>
      </w:r>
      <w:r w:rsidRPr="00DC2CC9">
        <w:rPr>
          <w:rFonts w:ascii="Times New Roman" w:hint="eastAsia"/>
        </w:rPr>
        <w:t>5</w:t>
      </w:r>
      <w:r w:rsidRPr="00DC2CC9">
        <w:rPr>
          <w:rFonts w:ascii="Times New Roman" w:hint="eastAsia"/>
        </w:rPr>
        <w:t>）～公式（</w:t>
      </w:r>
      <w:r w:rsidRPr="00DC2CC9">
        <w:rPr>
          <w:rFonts w:ascii="Times New Roman" w:hint="eastAsia"/>
        </w:rPr>
        <w:t>8</w:t>
      </w:r>
      <w:r w:rsidRPr="00DC2CC9">
        <w:rPr>
          <w:rFonts w:ascii="Times New Roman" w:hint="eastAsia"/>
        </w:rPr>
        <w:t>）进行水平地震作用和作用效应的计算，其中振型参与系数和耦联系数可按</w:t>
      </w:r>
      <w:r w:rsidRPr="00DC2CC9">
        <w:rPr>
          <w:rFonts w:ascii="Times New Roman" w:hint="eastAsia"/>
        </w:rPr>
        <w:t>GB/T 51408</w:t>
      </w:r>
      <w:r w:rsidRPr="00DC2CC9">
        <w:rPr>
          <w:rFonts w:ascii="Times New Roman" w:hint="eastAsia"/>
        </w:rPr>
        <w:t>《建筑隔震设计标准》的规定执行。</w:t>
      </w:r>
    </w:p>
    <w:p w14:paraId="43594F02" w14:textId="77777777" w:rsidR="00C07AE1" w:rsidRPr="00DC2CC9" w:rsidRDefault="00C07AE1" w:rsidP="00C07AE1">
      <w:pPr>
        <w:pStyle w:val="afffffffff0"/>
        <w:rPr>
          <w:rFonts w:ascii="Times New Roman"/>
        </w:rPr>
      </w:pPr>
      <w:r w:rsidRPr="00DC2CC9">
        <w:rPr>
          <w:rFonts w:ascii="Times New Roman" w:hint="eastAsia"/>
        </w:rPr>
        <w:t>当采用时程分析法时，计算模型的确定应符合下列规定：</w:t>
      </w:r>
    </w:p>
    <w:p w14:paraId="5438D212" w14:textId="26CCA2D5" w:rsidR="00C07AE1" w:rsidRPr="00DC2CC9" w:rsidRDefault="00C07AE1" w:rsidP="00DE7871">
      <w:pPr>
        <w:pStyle w:val="af5"/>
        <w:numPr>
          <w:ilvl w:val="0"/>
          <w:numId w:val="47"/>
        </w:numPr>
      </w:pPr>
      <w:r w:rsidRPr="00DC2CC9">
        <w:t>对特殊设防类、重点设防类隔震建筑及标准设防类不规则隔震建筑，隔震体系的计算模型</w:t>
      </w:r>
      <w:r w:rsidRPr="00DC2CC9">
        <w:rPr>
          <w:rFonts w:hint="eastAsia"/>
        </w:rPr>
        <w:t>宜</w:t>
      </w:r>
      <w:r w:rsidRPr="00DC2CC9">
        <w:t>考虑结构杆件的空间分布、弹性楼板假定、隔震支座的位置、隔震建筑的质量偏心、在两个</w:t>
      </w:r>
      <w:r w:rsidRPr="00DC2CC9">
        <w:rPr>
          <w:rFonts w:hint="eastAsia"/>
        </w:rPr>
        <w:t>水</w:t>
      </w:r>
      <w:r w:rsidRPr="00DC2CC9">
        <w:t>平方向的平移和扭转</w:t>
      </w:r>
      <w:r w:rsidRPr="00DC2CC9">
        <w:rPr>
          <w:rFonts w:hint="eastAsia"/>
        </w:rPr>
        <w:t>、</w:t>
      </w:r>
      <w:r w:rsidRPr="00DC2CC9">
        <w:t>隔震层的非线性阻尼特性以及荷载-位移关系特性等；</w:t>
      </w:r>
    </w:p>
    <w:p w14:paraId="22DFEE48" w14:textId="145E27B0" w:rsidR="00C07AE1" w:rsidRPr="00DC2CC9" w:rsidRDefault="00C07AE1" w:rsidP="00DE7871">
      <w:pPr>
        <w:pStyle w:val="af5"/>
      </w:pPr>
      <w:r w:rsidRPr="00DC2CC9">
        <w:rPr>
          <w:rFonts w:hint="eastAsia"/>
        </w:rPr>
        <w:t>在设防地震作用下，隔震建筑上部和下部结构的荷载-位移关系特性可采用线弹性力学模型；隔震层应采用隔震产品试验提供的滞回模型，按非线性阻尼特性以及非线性荷载-位移关系特性进行分析。在罕遇地震或极罕遇地震作用下，隔震建筑上部结构和下部结构宜采用弹塑性分析模型；</w:t>
      </w:r>
    </w:p>
    <w:p w14:paraId="03C50FA9" w14:textId="6EC24E75" w:rsidR="00C07AE1" w:rsidRPr="00DC2CC9" w:rsidRDefault="00C07AE1" w:rsidP="00DE7871">
      <w:pPr>
        <w:pStyle w:val="af5"/>
      </w:pPr>
      <w:r w:rsidRPr="00DC2CC9">
        <w:rPr>
          <w:rFonts w:hint="eastAsia"/>
        </w:rPr>
        <w:lastRenderedPageBreak/>
        <w:t>隔震支座单元应能够合理模拟隔震支座非线性特性，计算分析时，应按实际荷载工况顺序合理加载。</w:t>
      </w:r>
    </w:p>
    <w:p w14:paraId="39F66F28" w14:textId="77777777" w:rsidR="00C07AE1" w:rsidRPr="00DC2CC9" w:rsidRDefault="00C07AE1" w:rsidP="00C07AE1">
      <w:pPr>
        <w:pStyle w:val="afffffffff0"/>
        <w:rPr>
          <w:rFonts w:ascii="Times New Roman"/>
        </w:rPr>
      </w:pPr>
      <w:r w:rsidRPr="00DC2CC9">
        <w:rPr>
          <w:rFonts w:ascii="Times New Roman" w:hint="eastAsia"/>
        </w:rPr>
        <w:t>采用时程分析法时，应选用足够数量的实际强震记录加速度时程曲线和人工模拟地震动加速度时程曲线进行输入。宜选取不少于</w:t>
      </w:r>
      <w:r w:rsidRPr="00DC2CC9">
        <w:rPr>
          <w:rFonts w:ascii="Times New Roman" w:hint="eastAsia"/>
        </w:rPr>
        <w:t>2</w:t>
      </w:r>
      <w:r w:rsidRPr="00DC2CC9">
        <w:rPr>
          <w:rFonts w:ascii="Times New Roman" w:hint="eastAsia"/>
        </w:rPr>
        <w:t>组人工模拟加速度时程曲线和不少于</w:t>
      </w:r>
      <w:r w:rsidRPr="00DC2CC9">
        <w:rPr>
          <w:rFonts w:ascii="Times New Roman" w:hint="eastAsia"/>
        </w:rPr>
        <w:t>5</w:t>
      </w:r>
      <w:r w:rsidRPr="00DC2CC9">
        <w:rPr>
          <w:rFonts w:ascii="Times New Roman" w:hint="eastAsia"/>
        </w:rPr>
        <w:t>组实际强震记录或修正的加速度时程曲线。地震作用取</w:t>
      </w:r>
      <w:r w:rsidRPr="00DC2CC9">
        <w:rPr>
          <w:rFonts w:ascii="Times New Roman" w:hint="eastAsia"/>
        </w:rPr>
        <w:t>7</w:t>
      </w:r>
      <w:r w:rsidRPr="00DC2CC9">
        <w:rPr>
          <w:rFonts w:ascii="Times New Roman" w:hint="eastAsia"/>
        </w:rPr>
        <w:t>组加速度时程曲线计算结果的峰值平均值。</w:t>
      </w:r>
    </w:p>
    <w:p w14:paraId="3E13242D" w14:textId="77777777" w:rsidR="00C07AE1" w:rsidRPr="00DC2CC9" w:rsidRDefault="00C07AE1" w:rsidP="00C07AE1">
      <w:pPr>
        <w:pStyle w:val="afffffffff0"/>
        <w:rPr>
          <w:rFonts w:ascii="Times New Roman"/>
        </w:rPr>
      </w:pPr>
      <w:r w:rsidRPr="00DC2CC9">
        <w:rPr>
          <w:rFonts w:ascii="Times New Roman" w:hint="eastAsia"/>
        </w:rPr>
        <w:t>采用振型分解反应谱法和时程分析法同时计算时，地震作用结果应取时程分析法与振型分解反应谱法的包络值。</w:t>
      </w:r>
    </w:p>
    <w:p w14:paraId="7F5FB998" w14:textId="77777777" w:rsidR="00C07AE1" w:rsidRPr="00DC2CC9" w:rsidRDefault="00C07AE1" w:rsidP="00C07AE1">
      <w:pPr>
        <w:pStyle w:val="afffffffff0"/>
        <w:rPr>
          <w:rFonts w:ascii="Times New Roman"/>
        </w:rPr>
      </w:pPr>
      <w:r w:rsidRPr="00DC2CC9">
        <w:rPr>
          <w:rFonts w:ascii="Times New Roman" w:hint="eastAsia"/>
        </w:rPr>
        <w:t>对特殊设防类和房屋高度超过</w:t>
      </w:r>
      <w:r w:rsidRPr="00DC2CC9">
        <w:rPr>
          <w:rFonts w:ascii="Times New Roman" w:hint="eastAsia"/>
        </w:rPr>
        <w:t>60 m</w:t>
      </w:r>
      <w:r w:rsidRPr="00DC2CC9">
        <w:rPr>
          <w:rFonts w:ascii="Times New Roman" w:hint="eastAsia"/>
        </w:rPr>
        <w:t>的重点设防类隔震建筑，宜采用不少于两种程序对地震作用计算结果进行比较分析。</w:t>
      </w:r>
    </w:p>
    <w:p w14:paraId="166007F6" w14:textId="7BC3D6E5" w:rsidR="00C07AE1" w:rsidRPr="00DC2CC9" w:rsidRDefault="00C07AE1" w:rsidP="00C07AE1">
      <w:pPr>
        <w:pStyle w:val="afffffffff0"/>
        <w:rPr>
          <w:rFonts w:ascii="Times New Roman"/>
        </w:rPr>
      </w:pPr>
      <w:r w:rsidRPr="00DC2CC9">
        <w:rPr>
          <w:rFonts w:ascii="Times New Roman" w:hint="eastAsia"/>
        </w:rPr>
        <w:t>隔震建筑内部放置对振动有特殊要求的仪器设备而需限制楼层绝对加速度响应时，容许加速度应符合</w:t>
      </w:r>
      <w:r w:rsidRPr="00DC2CC9">
        <w:rPr>
          <w:rFonts w:ascii="Times New Roman" w:hint="eastAsia"/>
        </w:rPr>
        <w:t>GB 50868</w:t>
      </w:r>
      <w:r w:rsidRPr="00DC2CC9">
        <w:rPr>
          <w:rFonts w:ascii="Times New Roman" w:hint="eastAsia"/>
        </w:rPr>
        <w:t>的规定。</w:t>
      </w:r>
    </w:p>
    <w:p w14:paraId="7D1E3910" w14:textId="1179773F" w:rsidR="00C07AE1" w:rsidRPr="00DC2CC9" w:rsidRDefault="00C07AE1" w:rsidP="00C07AE1">
      <w:pPr>
        <w:pStyle w:val="affd"/>
        <w:spacing w:before="156" w:after="156"/>
        <w:rPr>
          <w:rFonts w:ascii="Times New Roman"/>
        </w:rPr>
      </w:pPr>
      <w:bookmarkStart w:id="75" w:name="_Toc178367385"/>
      <w:r w:rsidRPr="00DC2CC9">
        <w:rPr>
          <w:rFonts w:ascii="Times New Roman" w:hint="eastAsia"/>
        </w:rPr>
        <w:t>支座的要求</w:t>
      </w:r>
      <w:bookmarkEnd w:id="75"/>
    </w:p>
    <w:p w14:paraId="0B800CB5" w14:textId="41C47646" w:rsidR="00C07AE1" w:rsidRDefault="00C07AE1" w:rsidP="00C07AE1">
      <w:pPr>
        <w:pStyle w:val="afffffffff1"/>
        <w:rPr>
          <w:rFonts w:ascii="Times New Roman"/>
        </w:rPr>
      </w:pPr>
      <w:r w:rsidRPr="00DC2CC9">
        <w:rPr>
          <w:rFonts w:ascii="Times New Roman" w:hint="eastAsia"/>
        </w:rPr>
        <w:t>支座的性能参数及滞回曲线应由所用产品的试验确定。</w:t>
      </w:r>
    </w:p>
    <w:p w14:paraId="3A1AA114" w14:textId="00462E05" w:rsidR="00361D31" w:rsidRDefault="00361D31" w:rsidP="00C07AE1">
      <w:pPr>
        <w:pStyle w:val="afffffffff1"/>
        <w:rPr>
          <w:rFonts w:ascii="Times New Roman"/>
        </w:rPr>
      </w:pPr>
      <w:r w:rsidRPr="00DC2CC9">
        <w:rPr>
          <w:rFonts w:ascii="Times New Roman" w:hint="eastAsia"/>
        </w:rPr>
        <w:t>支座的用材，包括摩擦材料、钢材、橡胶材料、机加工件等应符合</w:t>
      </w:r>
      <w:r w:rsidRPr="00DC2CC9">
        <w:rPr>
          <w:rFonts w:ascii="Times New Roman" w:hint="eastAsia"/>
        </w:rPr>
        <w:t>GB/T 37358</w:t>
      </w:r>
      <w:r w:rsidRPr="00DC2CC9">
        <w:rPr>
          <w:rFonts w:ascii="Times New Roman" w:hint="eastAsia"/>
        </w:rPr>
        <w:t>的相关规定</w:t>
      </w:r>
      <w:r>
        <w:rPr>
          <w:rFonts w:ascii="Times New Roman" w:hint="eastAsia"/>
        </w:rPr>
        <w:t>。</w:t>
      </w:r>
    </w:p>
    <w:p w14:paraId="5B10D87C" w14:textId="5DE0CFAA" w:rsidR="006577A8" w:rsidRPr="00DC2CC9" w:rsidRDefault="006577A8" w:rsidP="00C07AE1">
      <w:pPr>
        <w:pStyle w:val="afffffffff1"/>
        <w:rPr>
          <w:rFonts w:ascii="Times New Roman"/>
        </w:rPr>
      </w:pPr>
      <w:r w:rsidRPr="00DC2CC9">
        <w:rPr>
          <w:rFonts w:ascii="Times New Roman" w:hint="eastAsia"/>
        </w:rPr>
        <w:t>支座及支座所用材料的外观质量、尺寸偏差、性能要求以及试验方法均应满足</w:t>
      </w:r>
      <w:r w:rsidRPr="00DC2CC9">
        <w:rPr>
          <w:rFonts w:ascii="Times New Roman" w:hint="eastAsia"/>
        </w:rPr>
        <w:t>GB/T 37358</w:t>
      </w:r>
      <w:r w:rsidRPr="00DC2CC9">
        <w:rPr>
          <w:rFonts w:ascii="Times New Roman" w:hint="eastAsia"/>
        </w:rPr>
        <w:t>的相关要求</w:t>
      </w:r>
      <w:r>
        <w:rPr>
          <w:rFonts w:ascii="Times New Roman" w:hint="eastAsia"/>
        </w:rPr>
        <w:t>。</w:t>
      </w:r>
    </w:p>
    <w:p w14:paraId="4A7432D3" w14:textId="7CCE4FF8" w:rsidR="00C07AE1" w:rsidRPr="00DC2CC9" w:rsidRDefault="00C07AE1" w:rsidP="00C07AE1">
      <w:pPr>
        <w:pStyle w:val="afffffffff1"/>
        <w:rPr>
          <w:rFonts w:ascii="Times New Roman"/>
        </w:rPr>
      </w:pPr>
      <w:r w:rsidRPr="00DC2CC9">
        <w:rPr>
          <w:rFonts w:ascii="Times New Roman" w:hint="eastAsia"/>
        </w:rPr>
        <w:t>支座的设置部位除应按计算确定外，应考虑便于检查和替换。</w:t>
      </w:r>
    </w:p>
    <w:p w14:paraId="66CEB5E5" w14:textId="77777777" w:rsidR="00C07AE1" w:rsidRPr="00DC2CC9" w:rsidRDefault="00C07AE1" w:rsidP="00C07AE1">
      <w:pPr>
        <w:pStyle w:val="afffffffff1"/>
        <w:rPr>
          <w:rFonts w:ascii="Times New Roman"/>
        </w:rPr>
      </w:pPr>
      <w:r w:rsidRPr="00DC2CC9">
        <w:rPr>
          <w:rFonts w:ascii="Times New Roman" w:hint="eastAsia"/>
        </w:rPr>
        <w:t>设计文件上应注明对支座的性能要求，支座安装前应具有符合设计要求的型式检验报告及出厂检验报告。</w:t>
      </w:r>
    </w:p>
    <w:p w14:paraId="23250BF4" w14:textId="6A8C4C85" w:rsidR="00C07AE1" w:rsidRPr="00DC2CC9" w:rsidRDefault="00C07AE1" w:rsidP="00C07AE1">
      <w:pPr>
        <w:pStyle w:val="afffffffff1"/>
        <w:rPr>
          <w:rFonts w:ascii="Times New Roman"/>
        </w:rPr>
      </w:pPr>
      <w:r w:rsidRPr="00DC2CC9">
        <w:rPr>
          <w:rFonts w:ascii="Times New Roman" w:hint="eastAsia"/>
        </w:rPr>
        <w:t>支座整体设计使用年限不应低于隔震结构的设计使用年限，且不宜低于</w:t>
      </w:r>
      <w:r w:rsidRPr="00DC2CC9">
        <w:rPr>
          <w:rFonts w:ascii="Times New Roman" w:hint="eastAsia"/>
        </w:rPr>
        <w:t>50</w:t>
      </w:r>
      <w:r w:rsidRPr="00DC2CC9">
        <w:rPr>
          <w:rFonts w:ascii="Times New Roman" w:hint="eastAsia"/>
        </w:rPr>
        <w:t>年。</w:t>
      </w:r>
    </w:p>
    <w:p w14:paraId="5F48497C" w14:textId="35672D9F" w:rsidR="00C07AE1" w:rsidRPr="00DC2CC9" w:rsidRDefault="00C07AE1" w:rsidP="00C07AE1">
      <w:pPr>
        <w:pStyle w:val="afffffffff1"/>
        <w:rPr>
          <w:rFonts w:ascii="Times New Roman"/>
        </w:rPr>
      </w:pPr>
      <w:r w:rsidRPr="00DC2CC9">
        <w:rPr>
          <w:rFonts w:ascii="Times New Roman" w:hint="eastAsia"/>
        </w:rPr>
        <w:t>隔震层设置在有耐火要求的使用空间时，隔震支座及其连接件应根据使用空间的耐火等级采取相应的防火措施，且耐火极限不应低于与其连接的竖向构件的耐火极限。</w:t>
      </w:r>
    </w:p>
    <w:p w14:paraId="7337FC93" w14:textId="28086B2A" w:rsidR="00C07AE1" w:rsidRPr="00DC2CC9" w:rsidRDefault="00C07AE1" w:rsidP="00C07AE1">
      <w:pPr>
        <w:pStyle w:val="afffffffff1"/>
        <w:rPr>
          <w:rFonts w:ascii="Times New Roman"/>
        </w:rPr>
      </w:pPr>
      <w:r w:rsidRPr="00DC2CC9">
        <w:rPr>
          <w:rFonts w:ascii="Times New Roman" w:hint="eastAsia"/>
        </w:rPr>
        <w:t>支座应具有抗拉功能，或单独配备有相应的抗拉装置。</w:t>
      </w:r>
    </w:p>
    <w:p w14:paraId="45E18E23" w14:textId="58594B36" w:rsidR="00C07AE1" w:rsidRDefault="00C07AE1" w:rsidP="00C07AE1">
      <w:pPr>
        <w:pStyle w:val="afffffffff1"/>
        <w:rPr>
          <w:rFonts w:ascii="Times New Roman"/>
        </w:rPr>
      </w:pPr>
      <w:r w:rsidRPr="00DC2CC9">
        <w:rPr>
          <w:rFonts w:ascii="Times New Roman" w:hint="eastAsia"/>
        </w:rPr>
        <w:t>支座应</w:t>
      </w:r>
      <w:r w:rsidR="000A533F">
        <w:rPr>
          <w:rFonts w:ascii="Times New Roman" w:hint="eastAsia"/>
        </w:rPr>
        <w:t>进行</w:t>
      </w:r>
      <w:r w:rsidRPr="00DC2CC9">
        <w:rPr>
          <w:rFonts w:ascii="Times New Roman" w:hint="eastAsia"/>
        </w:rPr>
        <w:t>防倾覆设计。</w:t>
      </w:r>
    </w:p>
    <w:p w14:paraId="5EC3173A" w14:textId="77777777" w:rsidR="005C2B23" w:rsidRDefault="005C2B23" w:rsidP="005C2B23">
      <w:pPr>
        <w:pStyle w:val="afffffffff1"/>
      </w:pPr>
      <w:r w:rsidRPr="00DC2CC9">
        <w:rPr>
          <w:rFonts w:hint="eastAsia"/>
        </w:rPr>
        <w:t>支座应进行出厂检验、型式检验和见证检验，出厂检验与型式检验应符合GB/T 37358的规定，见证检验应符合下列规定：</w:t>
      </w:r>
    </w:p>
    <w:p w14:paraId="4967E811" w14:textId="614BF362" w:rsidR="005C2B23" w:rsidRDefault="005C2B23" w:rsidP="008A3B5F">
      <w:pPr>
        <w:pStyle w:val="af5"/>
        <w:numPr>
          <w:ilvl w:val="0"/>
          <w:numId w:val="54"/>
        </w:numPr>
      </w:pPr>
      <w:r w:rsidRPr="00DC2CC9">
        <w:rPr>
          <w:rFonts w:hint="eastAsia"/>
        </w:rPr>
        <w:t>见证检验应在监理单位的见证下，从项目的产品中随机抽取，并做永久性标识，标识应清晰、不易脱落且具有唯一性，试样经妥善封样后应及时送到具备相应资质的检测单位进行检验</w:t>
      </w:r>
      <w:r>
        <w:rPr>
          <w:rFonts w:hint="eastAsia"/>
        </w:rPr>
        <w:t>；</w:t>
      </w:r>
    </w:p>
    <w:p w14:paraId="258BC15E" w14:textId="3B2A2AF1" w:rsidR="005C2B23" w:rsidRDefault="005C2B23" w:rsidP="008A3B5F">
      <w:pPr>
        <w:pStyle w:val="af5"/>
      </w:pPr>
      <w:r w:rsidRPr="00DC2CC9">
        <w:rPr>
          <w:rFonts w:hint="eastAsia"/>
        </w:rPr>
        <w:t>对于同一生产厂家、同一类型、同一规格的产品，应抽取总数的2%且不少于3个进行试验</w:t>
      </w:r>
      <w:r>
        <w:rPr>
          <w:rFonts w:hint="eastAsia"/>
        </w:rPr>
        <w:t>；</w:t>
      </w:r>
    </w:p>
    <w:p w14:paraId="1C0EEDA9" w14:textId="2A26A064" w:rsidR="005C2B23" w:rsidRPr="008A3B5F" w:rsidRDefault="005C2B23" w:rsidP="008A3B5F">
      <w:pPr>
        <w:pStyle w:val="af5"/>
        <w:rPr>
          <w:rFonts w:hint="eastAsia"/>
        </w:rPr>
      </w:pPr>
      <w:r w:rsidRPr="00DC2CC9">
        <w:rPr>
          <w:rFonts w:hint="eastAsia"/>
        </w:rPr>
        <w:t>对于抽取的样品，应首先进行基本力学性能的检验，包括竖向压缩性能和水平剪切性能，待基本力学性能合格后，还应进行水平极限变形能力的检验，所有项目的结果均应符合GB/T 37358的规定，当有任意一项性能不合格时，则该批次样品判定为不合格</w:t>
      </w:r>
      <w:r>
        <w:rPr>
          <w:rFonts w:hint="eastAsia"/>
        </w:rPr>
        <w:t>。</w:t>
      </w:r>
    </w:p>
    <w:p w14:paraId="79169C91" w14:textId="77777777" w:rsidR="00C07AE1" w:rsidRPr="00DC2CC9" w:rsidRDefault="00C07AE1" w:rsidP="00C07AE1">
      <w:pPr>
        <w:pStyle w:val="affc"/>
        <w:spacing w:before="312" w:after="312"/>
        <w:rPr>
          <w:rFonts w:ascii="Times New Roman"/>
        </w:rPr>
      </w:pPr>
      <w:bookmarkStart w:id="76" w:name="_Toc178367493"/>
      <w:bookmarkStart w:id="77" w:name="_Toc178367386"/>
      <w:bookmarkStart w:id="78" w:name="_Toc180651845"/>
      <w:bookmarkStart w:id="79" w:name="_Toc180654610"/>
      <w:r w:rsidRPr="00DC2CC9">
        <w:rPr>
          <w:rFonts w:ascii="Times New Roman" w:hint="eastAsia"/>
        </w:rPr>
        <w:t>隔震建筑设计</w:t>
      </w:r>
      <w:bookmarkEnd w:id="76"/>
      <w:bookmarkEnd w:id="77"/>
      <w:bookmarkEnd w:id="78"/>
      <w:bookmarkEnd w:id="79"/>
    </w:p>
    <w:p w14:paraId="73816E4B" w14:textId="77777777" w:rsidR="00C07AE1" w:rsidRPr="00DC2CC9" w:rsidRDefault="00C07AE1" w:rsidP="00C07AE1">
      <w:pPr>
        <w:pStyle w:val="affd"/>
        <w:spacing w:before="156" w:after="156"/>
        <w:rPr>
          <w:rFonts w:ascii="Times New Roman"/>
        </w:rPr>
      </w:pPr>
      <w:bookmarkStart w:id="80" w:name="_Toc178367387"/>
      <w:r w:rsidRPr="00DC2CC9">
        <w:rPr>
          <w:rFonts w:ascii="Times New Roman" w:hint="eastAsia"/>
        </w:rPr>
        <w:t>隔震层设计</w:t>
      </w:r>
      <w:bookmarkEnd w:id="80"/>
    </w:p>
    <w:p w14:paraId="47712AC2" w14:textId="77777777" w:rsidR="00C07AE1" w:rsidRPr="00DC2CC9" w:rsidRDefault="00C07AE1" w:rsidP="00C07AE1">
      <w:pPr>
        <w:pStyle w:val="afffffffff1"/>
        <w:rPr>
          <w:rFonts w:ascii="Times New Roman"/>
        </w:rPr>
      </w:pPr>
      <w:r w:rsidRPr="00DC2CC9">
        <w:rPr>
          <w:rFonts w:ascii="Times New Roman" w:hint="eastAsia"/>
        </w:rPr>
        <w:t>隔震层的设计应符合下列规定：</w:t>
      </w:r>
    </w:p>
    <w:p w14:paraId="5B822386" w14:textId="0CA8CA6E" w:rsidR="00C07AE1" w:rsidRPr="00DC2CC9" w:rsidRDefault="00C07AE1" w:rsidP="00C75EF6">
      <w:pPr>
        <w:pStyle w:val="af5"/>
        <w:numPr>
          <w:ilvl w:val="0"/>
          <w:numId w:val="48"/>
        </w:numPr>
      </w:pPr>
      <w:r w:rsidRPr="00DC2CC9">
        <w:t>阻尼装置、抗风装置和抗拉装置可与隔震支座联合使用，亦可单独设置。必要时可设置限位装置；</w:t>
      </w:r>
    </w:p>
    <w:p w14:paraId="2A99BDB9" w14:textId="7DC84A85" w:rsidR="00C07AE1" w:rsidRPr="00DC2CC9" w:rsidRDefault="00C07AE1" w:rsidP="00C75EF6">
      <w:pPr>
        <w:pStyle w:val="af5"/>
      </w:pPr>
      <w:r w:rsidRPr="00DC2CC9">
        <w:t>同一隔震层选用多种类型、规格的隔震装置时，每个隔震装置的承载力和水平变形能力应能充分发挥，所有隔震装置的竖向变形应保持一致；</w:t>
      </w:r>
    </w:p>
    <w:p w14:paraId="67102737" w14:textId="15573F88" w:rsidR="00C07AE1" w:rsidRPr="00DC2CC9" w:rsidRDefault="00C07AE1" w:rsidP="00C75EF6">
      <w:pPr>
        <w:pStyle w:val="af5"/>
      </w:pPr>
      <w:r w:rsidRPr="00DC2CC9">
        <w:lastRenderedPageBreak/>
        <w:t>当隔震层采用隔震支座和阻尼器时，应使隔震层在地震后基本恢复原位，隔震层在罕遇地震作用下水平最大位移所对应的恢复力，不宜小于隔震层屈服力与摩阻力之和的1.2倍</w:t>
      </w:r>
      <w:r w:rsidRPr="00DC2CC9">
        <w:rPr>
          <w:rFonts w:hint="eastAsia"/>
        </w:rPr>
        <w:t>；</w:t>
      </w:r>
    </w:p>
    <w:p w14:paraId="71BD4DFB" w14:textId="2910A726" w:rsidR="00C07AE1" w:rsidRPr="00DC2CC9" w:rsidRDefault="00C07AE1" w:rsidP="00C75EF6">
      <w:pPr>
        <w:pStyle w:val="af5"/>
      </w:pPr>
      <w:r w:rsidRPr="00DC2CC9">
        <w:rPr>
          <w:rFonts w:hint="eastAsia"/>
        </w:rPr>
        <w:t>橡胶类支座不宜与金属隔震支座在同一隔震层中混合使用。</w:t>
      </w:r>
    </w:p>
    <w:p w14:paraId="066590B2" w14:textId="77777777" w:rsidR="00C07AE1" w:rsidRPr="00DC2CC9" w:rsidRDefault="00C07AE1" w:rsidP="00C07AE1">
      <w:pPr>
        <w:pStyle w:val="afffffffff1"/>
        <w:rPr>
          <w:rFonts w:ascii="Times New Roman"/>
        </w:rPr>
      </w:pPr>
      <w:r w:rsidRPr="00DC2CC9">
        <w:rPr>
          <w:rFonts w:ascii="Times New Roman" w:hint="eastAsia"/>
        </w:rPr>
        <w:t>隔震层的布置应符合下列规定：</w:t>
      </w:r>
    </w:p>
    <w:p w14:paraId="016CAF8B" w14:textId="12FD41BF" w:rsidR="00C07AE1" w:rsidRPr="00DC2CC9" w:rsidRDefault="00C07AE1" w:rsidP="00C75EF6">
      <w:pPr>
        <w:pStyle w:val="af5"/>
        <w:numPr>
          <w:ilvl w:val="0"/>
          <w:numId w:val="49"/>
        </w:numPr>
      </w:pPr>
      <w:r w:rsidRPr="00DC2CC9">
        <w:t>隔震层宜设置在结构的底部或中下部，其隔震支座应设置在受力较大的位置，隔震支座的规格、数量和分布应根据竖向承载力、侧向刚度和阻尼的要求由计算确定；</w:t>
      </w:r>
    </w:p>
    <w:p w14:paraId="419727C9" w14:textId="78B8B615" w:rsidR="00C07AE1" w:rsidRPr="00DC2CC9" w:rsidRDefault="00C07AE1" w:rsidP="00C75EF6">
      <w:pPr>
        <w:pStyle w:val="af5"/>
      </w:pPr>
      <w:r w:rsidRPr="00DC2CC9">
        <w:t>隔震层刚度中心与质量中心宜重合，设防烈度地震作用下的偏心率不应大于3%；</w:t>
      </w:r>
    </w:p>
    <w:p w14:paraId="5EDE1E04" w14:textId="04DC4A88" w:rsidR="00C07AE1" w:rsidRPr="00DC2CC9" w:rsidRDefault="00C07AE1" w:rsidP="00C75EF6">
      <w:pPr>
        <w:pStyle w:val="af5"/>
      </w:pPr>
      <w:r w:rsidRPr="00DC2CC9">
        <w:t>隔震支座的平面布置宜与上部结构和下部结构中竖向受力构件的平面位置相对应，不能相对应时，应采取可靠的结构转换措施；</w:t>
      </w:r>
    </w:p>
    <w:p w14:paraId="0A325626" w14:textId="5F45B78F" w:rsidR="00C07AE1" w:rsidRPr="00DC2CC9" w:rsidRDefault="00C07AE1" w:rsidP="00C75EF6">
      <w:pPr>
        <w:pStyle w:val="af5"/>
      </w:pPr>
      <w:r w:rsidRPr="00DC2CC9">
        <w:t>隔震支座底面宜布置在相同标高位置上；当隔震层的隔震装置处于不同标高时，应采取有效措施保证隔震装置共同工作，且罕遇地震作用下，不同标高的相邻隔震层的层间位移角不应大于1/1</w:t>
      </w:r>
      <w:r w:rsidRPr="00DC2CC9">
        <w:rPr>
          <w:rFonts w:hint="eastAsia"/>
        </w:rPr>
        <w:t xml:space="preserve"> </w:t>
      </w:r>
      <w:r w:rsidRPr="00DC2CC9">
        <w:t>000；</w:t>
      </w:r>
    </w:p>
    <w:p w14:paraId="481FA959" w14:textId="79A511E7" w:rsidR="00C07AE1" w:rsidRPr="00DC2CC9" w:rsidRDefault="00C07AE1" w:rsidP="00C75EF6">
      <w:pPr>
        <w:pStyle w:val="af5"/>
      </w:pPr>
      <w:r w:rsidRPr="00DC2CC9">
        <w:t>同一支承处采用多个隔震支座时，隔震支座之间的净距不应小于安装和更换所需的空间尺寸。</w:t>
      </w:r>
    </w:p>
    <w:p w14:paraId="01B0A85B" w14:textId="77777777" w:rsidR="00C07AE1" w:rsidRPr="00DC2CC9" w:rsidRDefault="00C07AE1" w:rsidP="00C07AE1">
      <w:pPr>
        <w:pStyle w:val="afffffffff3"/>
        <w:rPr>
          <w:rFonts w:ascii="Times New Roman" w:hAnsi="Times New Roman" w:hint="eastAsia"/>
        </w:rPr>
      </w:pPr>
      <w:r w:rsidRPr="00DC2CC9">
        <w:rPr>
          <w:rFonts w:ascii="Times New Roman" w:hAnsi="Times New Roman" w:hint="eastAsia"/>
        </w:rPr>
        <w:t>隔震支座的压应力和徐变性能应符合下列规定：</w:t>
      </w:r>
    </w:p>
    <w:p w14:paraId="7137698C" w14:textId="31C3FAA5" w:rsidR="00C07AE1" w:rsidRPr="00DC2CC9" w:rsidRDefault="00C07AE1" w:rsidP="00C75EF6">
      <w:pPr>
        <w:pStyle w:val="af5"/>
        <w:numPr>
          <w:ilvl w:val="0"/>
          <w:numId w:val="50"/>
        </w:numPr>
      </w:pPr>
      <w:r w:rsidRPr="00DC2CC9">
        <w:rPr>
          <w:rFonts w:hint="eastAsia"/>
        </w:rPr>
        <w:t>隔震支座在重力荷载代表值作用下，竖向压应力设计值不应超过表3的规定；</w:t>
      </w:r>
    </w:p>
    <w:p w14:paraId="75D90C6E" w14:textId="7181B054" w:rsidR="00C07AE1" w:rsidRPr="00DC2CC9" w:rsidRDefault="00C07AE1" w:rsidP="00C75EF6">
      <w:pPr>
        <w:pStyle w:val="af5"/>
      </w:pPr>
      <w:r w:rsidRPr="00DC2CC9">
        <w:rPr>
          <w:rFonts w:hint="eastAsia"/>
        </w:rPr>
        <w:t>对于金属隔震支座，摩擦材料的压应力限值也应满足表的规定；</w:t>
      </w:r>
    </w:p>
    <w:p w14:paraId="22BED05F" w14:textId="16576932" w:rsidR="00C07AE1" w:rsidRPr="00DC2CC9" w:rsidRDefault="00C07AE1" w:rsidP="00C75EF6">
      <w:pPr>
        <w:pStyle w:val="af5"/>
      </w:pPr>
      <w:r w:rsidRPr="00DC2CC9">
        <w:rPr>
          <w:rFonts w:hint="eastAsia"/>
        </w:rPr>
        <w:t>在建筑设计工作年限内，隔震支座刚度、阻尼特性变化不应超过预期值的20%。</w:t>
      </w:r>
    </w:p>
    <w:p w14:paraId="0D4CA275" w14:textId="77777777" w:rsidR="00C07AE1" w:rsidRPr="00DC2CC9" w:rsidRDefault="00C07AE1" w:rsidP="00C07AE1">
      <w:pPr>
        <w:pStyle w:val="aff2"/>
        <w:spacing w:before="156" w:after="156"/>
        <w:rPr>
          <w:rFonts w:ascii="Times New Roman"/>
        </w:rPr>
      </w:pPr>
      <w:r w:rsidRPr="00DC2CC9">
        <w:rPr>
          <w:rFonts w:ascii="Times New Roman" w:hint="eastAsia"/>
        </w:rPr>
        <w:t>隔震支座在重力荷载代表值作用下的压应力限值</w:t>
      </w:r>
    </w:p>
    <w:p w14:paraId="50012317" w14:textId="77777777" w:rsidR="00C07AE1" w:rsidRPr="00DC2CC9" w:rsidRDefault="00C07AE1" w:rsidP="00C07AE1">
      <w:pPr>
        <w:jc w:val="right"/>
        <w:rPr>
          <w:rFonts w:ascii="Times New Roman" w:hAnsi="Times New Roman"/>
        </w:rPr>
      </w:pPr>
      <w:r w:rsidRPr="00DC2CC9">
        <w:rPr>
          <w:rFonts w:ascii="Times New Roman" w:hAnsi="Times New Roman" w:hint="eastAsia"/>
        </w:rPr>
        <w:t>单位为兆帕（</w:t>
      </w:r>
      <w:r w:rsidRPr="00DC2CC9">
        <w:rPr>
          <w:rFonts w:ascii="Times New Roman" w:hAnsi="Times New Roman" w:hint="eastAsia"/>
        </w:rPr>
        <w:t>MPa</w:t>
      </w:r>
      <w:r w:rsidRPr="00DC2CC9">
        <w:rPr>
          <w:rFonts w:ascii="Times New Roman" w:hAnsi="Times New Roman" w:hint="eastAsia"/>
        </w:rPr>
        <w:t>）</w:t>
      </w:r>
    </w:p>
    <w:tbl>
      <w:tblPr>
        <w:tblStyle w:val="afffffffffc"/>
        <w:tblW w:w="0" w:type="auto"/>
        <w:jc w:val="center"/>
        <w:tblLook w:val="04A0" w:firstRow="1" w:lastRow="0" w:firstColumn="1" w:lastColumn="0" w:noHBand="0" w:noVBand="1"/>
      </w:tblPr>
      <w:tblGrid>
        <w:gridCol w:w="2245"/>
        <w:gridCol w:w="2245"/>
        <w:gridCol w:w="2246"/>
        <w:gridCol w:w="2246"/>
      </w:tblGrid>
      <w:tr w:rsidR="00C07AE1" w:rsidRPr="00DC2CC9" w14:paraId="64035F00" w14:textId="77777777" w:rsidTr="00B115E4">
        <w:trPr>
          <w:trHeight w:val="761"/>
          <w:jc w:val="center"/>
        </w:trPr>
        <w:tc>
          <w:tcPr>
            <w:tcW w:w="2245" w:type="dxa"/>
            <w:vAlign w:val="center"/>
          </w:tcPr>
          <w:p w14:paraId="56AC1939" w14:textId="77777777" w:rsidR="00C07AE1" w:rsidRPr="00DC2CC9" w:rsidRDefault="00C07AE1" w:rsidP="000B1BFB">
            <w:pPr>
              <w:jc w:val="center"/>
              <w:rPr>
                <w:rFonts w:ascii="Times New Roman" w:hAnsi="Times New Roman"/>
              </w:rPr>
            </w:pPr>
            <w:r w:rsidRPr="00DC2CC9">
              <w:rPr>
                <w:rFonts w:ascii="Times New Roman" w:hAnsi="Times New Roman" w:hint="eastAsia"/>
              </w:rPr>
              <w:t>建筑类别</w:t>
            </w:r>
          </w:p>
        </w:tc>
        <w:tc>
          <w:tcPr>
            <w:tcW w:w="2245" w:type="dxa"/>
            <w:vAlign w:val="center"/>
          </w:tcPr>
          <w:p w14:paraId="235080D1" w14:textId="77777777" w:rsidR="00C07AE1" w:rsidRPr="00DC2CC9" w:rsidRDefault="00C07AE1" w:rsidP="000B1BFB">
            <w:pPr>
              <w:jc w:val="center"/>
              <w:rPr>
                <w:rFonts w:ascii="Times New Roman" w:hAnsi="Times New Roman"/>
              </w:rPr>
            </w:pPr>
            <w:r w:rsidRPr="00DC2CC9">
              <w:rPr>
                <w:rFonts w:ascii="Times New Roman" w:hAnsi="Times New Roman" w:hint="eastAsia"/>
              </w:rPr>
              <w:t>特殊设防类建筑</w:t>
            </w:r>
          </w:p>
        </w:tc>
        <w:tc>
          <w:tcPr>
            <w:tcW w:w="2246" w:type="dxa"/>
            <w:vAlign w:val="center"/>
          </w:tcPr>
          <w:p w14:paraId="626A94FC" w14:textId="77777777" w:rsidR="00C07AE1" w:rsidRPr="00DC2CC9" w:rsidRDefault="00C07AE1" w:rsidP="000B1BFB">
            <w:pPr>
              <w:jc w:val="center"/>
              <w:rPr>
                <w:rFonts w:ascii="Times New Roman" w:hAnsi="Times New Roman"/>
              </w:rPr>
            </w:pPr>
            <w:r w:rsidRPr="00DC2CC9">
              <w:rPr>
                <w:rFonts w:ascii="Times New Roman" w:hAnsi="Times New Roman" w:hint="eastAsia"/>
              </w:rPr>
              <w:t>重点设防类建筑</w:t>
            </w:r>
          </w:p>
        </w:tc>
        <w:tc>
          <w:tcPr>
            <w:tcW w:w="2246" w:type="dxa"/>
            <w:vAlign w:val="center"/>
          </w:tcPr>
          <w:p w14:paraId="2DE27731" w14:textId="77777777" w:rsidR="00C07AE1" w:rsidRPr="00DC2CC9" w:rsidRDefault="00C07AE1" w:rsidP="000B1BFB">
            <w:pPr>
              <w:jc w:val="center"/>
              <w:rPr>
                <w:rFonts w:ascii="Times New Roman" w:hAnsi="Times New Roman"/>
              </w:rPr>
            </w:pPr>
            <w:r w:rsidRPr="00DC2CC9">
              <w:rPr>
                <w:rFonts w:ascii="Times New Roman" w:hAnsi="Times New Roman" w:hint="eastAsia"/>
              </w:rPr>
              <w:t>标准设防类建筑</w:t>
            </w:r>
          </w:p>
        </w:tc>
      </w:tr>
      <w:tr w:rsidR="00C07AE1" w:rsidRPr="00DC2CC9" w14:paraId="695AD1C0" w14:textId="77777777" w:rsidTr="00B115E4">
        <w:trPr>
          <w:trHeight w:val="613"/>
          <w:jc w:val="center"/>
        </w:trPr>
        <w:tc>
          <w:tcPr>
            <w:tcW w:w="2245" w:type="dxa"/>
            <w:vAlign w:val="center"/>
          </w:tcPr>
          <w:p w14:paraId="706078C9" w14:textId="77777777" w:rsidR="00C07AE1" w:rsidRPr="00DC2CC9" w:rsidRDefault="00C07AE1" w:rsidP="000B1BFB">
            <w:pPr>
              <w:jc w:val="center"/>
              <w:rPr>
                <w:rFonts w:ascii="Times New Roman" w:hAnsi="Times New Roman"/>
              </w:rPr>
            </w:pPr>
            <w:r w:rsidRPr="00DC2CC9">
              <w:rPr>
                <w:rFonts w:ascii="Times New Roman" w:hAnsi="Times New Roman" w:hint="eastAsia"/>
              </w:rPr>
              <w:t>压应力限值</w:t>
            </w:r>
          </w:p>
        </w:tc>
        <w:tc>
          <w:tcPr>
            <w:tcW w:w="2245" w:type="dxa"/>
            <w:vAlign w:val="center"/>
          </w:tcPr>
          <w:p w14:paraId="4006A58A" w14:textId="77777777" w:rsidR="00C07AE1" w:rsidRPr="00DC2CC9" w:rsidRDefault="00C07AE1" w:rsidP="000B1BFB">
            <w:pPr>
              <w:jc w:val="center"/>
              <w:rPr>
                <w:rFonts w:ascii="Times New Roman" w:hAnsi="Times New Roman"/>
              </w:rPr>
            </w:pPr>
            <w:r w:rsidRPr="00DC2CC9">
              <w:rPr>
                <w:rFonts w:ascii="Times New Roman" w:hAnsi="Times New Roman" w:hint="eastAsia"/>
              </w:rPr>
              <w:t>20</w:t>
            </w:r>
          </w:p>
        </w:tc>
        <w:tc>
          <w:tcPr>
            <w:tcW w:w="2246" w:type="dxa"/>
            <w:vAlign w:val="center"/>
          </w:tcPr>
          <w:p w14:paraId="5A0975F9" w14:textId="77777777" w:rsidR="00C07AE1" w:rsidRPr="00DC2CC9" w:rsidRDefault="00C07AE1" w:rsidP="000B1BFB">
            <w:pPr>
              <w:jc w:val="center"/>
              <w:rPr>
                <w:rFonts w:ascii="Times New Roman" w:hAnsi="Times New Roman"/>
              </w:rPr>
            </w:pPr>
            <w:r w:rsidRPr="00DC2CC9">
              <w:rPr>
                <w:rFonts w:ascii="Times New Roman" w:hAnsi="Times New Roman" w:hint="eastAsia"/>
              </w:rPr>
              <w:t>25</w:t>
            </w:r>
          </w:p>
        </w:tc>
        <w:tc>
          <w:tcPr>
            <w:tcW w:w="2246" w:type="dxa"/>
            <w:vAlign w:val="center"/>
          </w:tcPr>
          <w:p w14:paraId="37FFBF4D" w14:textId="77777777" w:rsidR="00C07AE1" w:rsidRPr="00DC2CC9" w:rsidRDefault="00C07AE1" w:rsidP="000B1BFB">
            <w:pPr>
              <w:jc w:val="center"/>
              <w:rPr>
                <w:rFonts w:ascii="Times New Roman" w:hAnsi="Times New Roman"/>
              </w:rPr>
            </w:pPr>
            <w:r w:rsidRPr="00DC2CC9">
              <w:rPr>
                <w:rFonts w:ascii="Times New Roman" w:hAnsi="Times New Roman" w:hint="eastAsia"/>
              </w:rPr>
              <w:t>30</w:t>
            </w:r>
          </w:p>
        </w:tc>
      </w:tr>
    </w:tbl>
    <w:p w14:paraId="5C3A9A39" w14:textId="77777777" w:rsidR="00C07AE1" w:rsidRPr="00DC2CC9" w:rsidRDefault="00C07AE1" w:rsidP="00C07AE1">
      <w:pPr>
        <w:pStyle w:val="afffffffff1"/>
        <w:rPr>
          <w:rFonts w:ascii="Times New Roman"/>
        </w:rPr>
      </w:pPr>
      <w:r w:rsidRPr="00DC2CC9">
        <w:rPr>
          <w:rFonts w:ascii="Times New Roman" w:hint="eastAsia"/>
        </w:rPr>
        <w:t>隔震层的水平刚度和阻尼应符合下列规定：</w:t>
      </w:r>
      <w:r w:rsidRPr="00DC2CC9">
        <w:rPr>
          <w:rFonts w:ascii="Times New Roman" w:hint="eastAsia"/>
        </w:rPr>
        <w:t xml:space="preserve"> </w:t>
      </w:r>
    </w:p>
    <w:p w14:paraId="4F3B5B44" w14:textId="4F08BB82" w:rsidR="00C07AE1" w:rsidRPr="00DC2CC9" w:rsidRDefault="00C07AE1" w:rsidP="00FB03D2">
      <w:pPr>
        <w:pStyle w:val="af5"/>
        <w:numPr>
          <w:ilvl w:val="0"/>
          <w:numId w:val="51"/>
        </w:numPr>
      </w:pPr>
      <w:r w:rsidRPr="00DC2CC9">
        <w:rPr>
          <w:rFonts w:hint="eastAsia"/>
        </w:rPr>
        <w:t>隔震层的水平等效刚度和等效阻尼比可按下列公式计算：</w:t>
      </w:r>
    </w:p>
    <w:p w14:paraId="33292263" w14:textId="77777777" w:rsidR="00C07AE1" w:rsidRPr="00DC2CC9" w:rsidRDefault="00C07AE1" w:rsidP="00C07AE1">
      <w:pPr>
        <w:spacing w:line="240" w:lineRule="atLeast"/>
        <w:ind w:firstLineChars="200" w:firstLine="420"/>
        <w:jc w:val="right"/>
        <w:rPr>
          <w:rFonts w:ascii="Times New Roman" w:hAnsi="Times New Roman"/>
        </w:rPr>
      </w:pPr>
      <m:oMath>
        <m:sSub>
          <m:sSubPr>
            <m:ctrlPr>
              <w:rPr>
                <w:rFonts w:ascii="Cambria Math" w:hAnsi="Cambria Math"/>
                <w:i/>
              </w:rPr>
            </m:ctrlPr>
          </m:sSubPr>
          <m:e>
            <m:r>
              <w:rPr>
                <w:rFonts w:ascii="Cambria Math" w:hAnsi="Cambria Math"/>
              </w:rPr>
              <m:t>K</m:t>
            </m:r>
          </m:e>
          <m:sub>
            <m:r>
              <w:rPr>
                <w:rFonts w:ascii="Cambria Math" w:hAnsi="Cambria Math"/>
              </w:rPr>
              <m:t>eq</m:t>
            </m:r>
          </m:sub>
        </m:sSub>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k</m:t>
                </m:r>
              </m:e>
              <m:sub>
                <m:r>
                  <w:rPr>
                    <w:rFonts w:ascii="Cambria Math" w:hAnsi="Cambria Math"/>
                  </w:rPr>
                  <m:t>j</m:t>
                </m:r>
              </m:sub>
            </m:sSub>
          </m:e>
        </m:nary>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12</w:t>
      </w:r>
      <w:r w:rsidRPr="00DC2CC9">
        <w:rPr>
          <w:rFonts w:ascii="Times New Roman" w:hAnsi="Times New Roman" w:hint="eastAsia"/>
        </w:rPr>
        <w:t>）</w:t>
      </w:r>
    </w:p>
    <w:p w14:paraId="4C18EBE8" w14:textId="77777777" w:rsidR="00C07AE1" w:rsidRPr="00DC2CC9" w:rsidRDefault="00C07AE1" w:rsidP="00C07AE1">
      <w:pPr>
        <w:spacing w:line="240" w:lineRule="atLeast"/>
        <w:ind w:firstLineChars="200" w:firstLine="420"/>
        <w:jc w:val="right"/>
        <w:rPr>
          <w:rFonts w:ascii="Times New Roman" w:hAnsi="Times New Roman"/>
        </w:rPr>
      </w:pPr>
      <m:oMath>
        <m:sSub>
          <m:sSubPr>
            <m:ctrlPr>
              <w:rPr>
                <w:rFonts w:ascii="Cambria Math" w:hAnsi="Cambria Math"/>
                <w:i/>
              </w:rPr>
            </m:ctrlPr>
          </m:sSubPr>
          <m:e>
            <m:r>
              <w:rPr>
                <w:rFonts w:ascii="Cambria Math" w:hAnsi="Cambria Math"/>
              </w:rPr>
              <m:t>ξ</m:t>
            </m:r>
          </m:e>
          <m:sub>
            <m:r>
              <w:rPr>
                <w:rFonts w:ascii="Cambria Math" w:hAnsi="Cambria Math"/>
              </w:rPr>
              <m:t>eq</m:t>
            </m:r>
          </m:sub>
        </m:sSub>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k</m:t>
                </m:r>
              </m:e>
              <m:sub>
                <m:r>
                  <w:rPr>
                    <w:rFonts w:ascii="Cambria Math" w:hAnsi="Cambria Math"/>
                  </w:rPr>
                  <m:t>j</m:t>
                </m:r>
              </m:sub>
            </m:sSub>
            <m:sSub>
              <m:sSubPr>
                <m:ctrlPr>
                  <w:rPr>
                    <w:rFonts w:ascii="Cambria Math" w:hAnsi="Cambria Math"/>
                    <w:i/>
                  </w:rPr>
                </m:ctrlPr>
              </m:sSubPr>
              <m:e>
                <m:r>
                  <w:rPr>
                    <w:rFonts w:ascii="Cambria Math" w:hAnsi="Cambria Math"/>
                  </w:rPr>
                  <m:t>ξ</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eq</m:t>
                </m:r>
              </m:sub>
            </m:sSub>
          </m:e>
        </m:nary>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13</w:t>
      </w:r>
      <w:r w:rsidRPr="00DC2CC9">
        <w:rPr>
          <w:rFonts w:ascii="Times New Roman" w:hAnsi="Times New Roman" w:hint="eastAsia"/>
        </w:rPr>
        <w:t>）</w:t>
      </w:r>
    </w:p>
    <w:p w14:paraId="731F091B" w14:textId="77777777" w:rsidR="00C07AE1" w:rsidRPr="00DC2CC9" w:rsidRDefault="00C07AE1" w:rsidP="0081233B">
      <w:pPr>
        <w:ind w:leftChars="600" w:left="600" w:firstLineChars="300" w:firstLine="300"/>
        <w:rPr>
          <w:rFonts w:ascii="Times New Roman" w:hAnsi="Times New Roman"/>
        </w:rPr>
      </w:pPr>
      <w:r w:rsidRPr="00DC2CC9">
        <w:rPr>
          <w:rFonts w:ascii="Times New Roman" w:hAnsi="Times New Roman" w:hint="eastAsia"/>
        </w:rPr>
        <w:t>式中：</w:t>
      </w:r>
    </w:p>
    <w:p w14:paraId="08AD4B3F" w14:textId="77777777" w:rsidR="00C07AE1" w:rsidRPr="00DC2CC9" w:rsidRDefault="00C07AE1" w:rsidP="0081233B">
      <w:pPr>
        <w:ind w:leftChars="600" w:left="600" w:firstLineChars="300" w:firstLine="300"/>
        <w:rPr>
          <w:rFonts w:ascii="Times New Roman" w:hAnsi="Times New Roman"/>
        </w:rPr>
      </w:pPr>
      <w:r w:rsidRPr="00DC2CC9">
        <w:rPr>
          <w:rFonts w:ascii="Times New Roman" w:hAnsi="Times New Roman" w:hint="eastAsia"/>
        </w:rPr>
        <w:t>ξ</w:t>
      </w:r>
      <w:r w:rsidRPr="00DC2CC9">
        <w:rPr>
          <w:rFonts w:ascii="Times New Roman" w:hAnsi="Times New Roman" w:hint="eastAsia"/>
          <w:vertAlign w:val="subscript"/>
        </w:rPr>
        <w:t>eq</w:t>
      </w:r>
      <w:r w:rsidRPr="00DC2CC9">
        <w:rPr>
          <w:rFonts w:ascii="Times New Roman" w:hAnsi="Times New Roman" w:hint="eastAsia"/>
        </w:rPr>
        <w:t>——隔震层等效阻尼比；</w:t>
      </w:r>
    </w:p>
    <w:p w14:paraId="7B2C5BDE" w14:textId="77777777" w:rsidR="00C07AE1" w:rsidRPr="00DC2CC9" w:rsidRDefault="00C07AE1" w:rsidP="0081233B">
      <w:pPr>
        <w:ind w:leftChars="600" w:left="600" w:firstLineChars="300" w:firstLine="300"/>
        <w:rPr>
          <w:rFonts w:ascii="Times New Roman" w:hAnsi="Times New Roman"/>
        </w:rPr>
      </w:pPr>
      <w:r w:rsidRPr="00DC2CC9">
        <w:rPr>
          <w:rFonts w:ascii="Times New Roman" w:hAnsi="Times New Roman" w:hint="eastAsia"/>
        </w:rPr>
        <w:t>K</w:t>
      </w:r>
      <w:r w:rsidRPr="00DC2CC9">
        <w:rPr>
          <w:rFonts w:ascii="Times New Roman" w:hAnsi="Times New Roman" w:hint="eastAsia"/>
          <w:vertAlign w:val="subscript"/>
        </w:rPr>
        <w:t xml:space="preserve">eq </w:t>
      </w:r>
      <w:r w:rsidRPr="00DC2CC9">
        <w:rPr>
          <w:rFonts w:ascii="Times New Roman" w:hAnsi="Times New Roman" w:hint="eastAsia"/>
        </w:rPr>
        <w:t>——隔震层水平等效刚度，单位为牛每毫米（</w:t>
      </w:r>
      <w:r w:rsidRPr="00DC2CC9">
        <w:rPr>
          <w:rFonts w:ascii="Times New Roman" w:hAnsi="Times New Roman" w:hint="eastAsia"/>
        </w:rPr>
        <w:t>N/mm</w:t>
      </w:r>
      <w:r w:rsidRPr="00DC2CC9">
        <w:rPr>
          <w:rFonts w:ascii="Times New Roman" w:hAnsi="Times New Roman" w:hint="eastAsia"/>
        </w:rPr>
        <w:t>）；</w:t>
      </w:r>
    </w:p>
    <w:p w14:paraId="6FCD4563" w14:textId="77777777" w:rsidR="00C07AE1" w:rsidRPr="00DC2CC9" w:rsidRDefault="00C07AE1" w:rsidP="0081233B">
      <w:pPr>
        <w:ind w:leftChars="600" w:left="600" w:firstLineChars="300" w:firstLine="300"/>
        <w:rPr>
          <w:rFonts w:ascii="Times New Roman" w:hAnsi="Times New Roman"/>
        </w:rPr>
      </w:pPr>
      <w:r w:rsidRPr="00DC2CC9">
        <w:rPr>
          <w:rFonts w:ascii="Times New Roman" w:hAnsi="Times New Roman" w:hint="eastAsia"/>
        </w:rPr>
        <w:t>ξ</w:t>
      </w:r>
      <w:r w:rsidRPr="00DC2CC9">
        <w:rPr>
          <w:rFonts w:ascii="Times New Roman" w:hAnsi="Times New Roman" w:hint="eastAsia"/>
          <w:vertAlign w:val="subscript"/>
        </w:rPr>
        <w:t xml:space="preserve">j </w:t>
      </w:r>
      <w:r w:rsidRPr="00DC2CC9">
        <w:rPr>
          <w:rFonts w:ascii="Times New Roman" w:hAnsi="Times New Roman" w:hint="eastAsia"/>
        </w:rPr>
        <w:t>——</w:t>
      </w:r>
      <w:r w:rsidRPr="00DC2CC9">
        <w:rPr>
          <w:rFonts w:ascii="Times New Roman" w:hAnsi="Times New Roman" w:hint="eastAsia"/>
        </w:rPr>
        <w:t xml:space="preserve"> j</w:t>
      </w:r>
      <w:r w:rsidRPr="00DC2CC9">
        <w:rPr>
          <w:rFonts w:ascii="Times New Roman" w:hAnsi="Times New Roman" w:hint="eastAsia"/>
        </w:rPr>
        <w:t>隔震支座的等效阻尼比；</w:t>
      </w:r>
    </w:p>
    <w:p w14:paraId="30EBDCFA" w14:textId="77777777" w:rsidR="00C07AE1" w:rsidRPr="00DC2CC9" w:rsidRDefault="00C07AE1" w:rsidP="0081233B">
      <w:pPr>
        <w:ind w:leftChars="600" w:left="600" w:firstLineChars="300" w:firstLine="300"/>
        <w:rPr>
          <w:rFonts w:ascii="Times New Roman" w:hAnsi="Times New Roman"/>
        </w:rPr>
      </w:pPr>
      <w:r w:rsidRPr="00DC2CC9">
        <w:rPr>
          <w:rFonts w:ascii="Times New Roman" w:hAnsi="Times New Roman" w:hint="eastAsia"/>
        </w:rPr>
        <w:t>K</w:t>
      </w:r>
      <w:r w:rsidRPr="00DC2CC9">
        <w:rPr>
          <w:rFonts w:ascii="Times New Roman" w:hAnsi="Times New Roman" w:hint="eastAsia"/>
          <w:vertAlign w:val="subscript"/>
        </w:rPr>
        <w:t xml:space="preserve">j  </w:t>
      </w:r>
      <w:r w:rsidRPr="00DC2CC9">
        <w:rPr>
          <w:rFonts w:ascii="Times New Roman" w:hAnsi="Times New Roman" w:hint="eastAsia"/>
        </w:rPr>
        <w:t>——隔震支座</w:t>
      </w:r>
      <w:r w:rsidRPr="00DC2CC9">
        <w:rPr>
          <w:rFonts w:ascii="Times New Roman" w:hAnsi="Times New Roman" w:hint="eastAsia"/>
        </w:rPr>
        <w:t>j</w:t>
      </w:r>
      <w:r w:rsidRPr="00DC2CC9">
        <w:rPr>
          <w:rFonts w:ascii="Times New Roman" w:hAnsi="Times New Roman" w:hint="eastAsia"/>
        </w:rPr>
        <w:t>（含阻尼器）由试验确定的水平等效刚度，单位为牛每毫米（</w:t>
      </w:r>
      <w:r w:rsidRPr="00DC2CC9">
        <w:rPr>
          <w:rFonts w:ascii="Times New Roman" w:hAnsi="Times New Roman" w:hint="eastAsia"/>
        </w:rPr>
        <w:t>N/mm</w:t>
      </w:r>
      <w:r w:rsidRPr="00DC2CC9">
        <w:rPr>
          <w:rFonts w:ascii="Times New Roman" w:hAnsi="Times New Roman" w:hint="eastAsia"/>
        </w:rPr>
        <w:t>）。</w:t>
      </w:r>
    </w:p>
    <w:p w14:paraId="63893FF4" w14:textId="61012313" w:rsidR="00C07AE1" w:rsidRPr="00DC2CC9" w:rsidRDefault="00C07AE1" w:rsidP="00FB03D2">
      <w:pPr>
        <w:pStyle w:val="af5"/>
      </w:pPr>
      <w:r w:rsidRPr="00DC2CC9">
        <w:rPr>
          <w:rFonts w:hint="eastAsia"/>
        </w:rPr>
        <w:t>当隔震层设有附加阻尼装置时，应计入阻尼装置的阻尼。</w:t>
      </w:r>
    </w:p>
    <w:p w14:paraId="23676B61" w14:textId="5B5C1AA8" w:rsidR="00C07AE1" w:rsidRPr="00DC2CC9" w:rsidRDefault="00C07AE1" w:rsidP="00FB03D2">
      <w:pPr>
        <w:pStyle w:val="af5"/>
      </w:pPr>
      <w:r w:rsidRPr="00DC2CC9">
        <w:rPr>
          <w:rFonts w:hint="eastAsia"/>
        </w:rPr>
        <w:t>隔震支座和阻尼装置的设计参数，应与产品型式检验的结果相符。</w:t>
      </w:r>
    </w:p>
    <w:p w14:paraId="518F25C1" w14:textId="77777777" w:rsidR="00C07AE1" w:rsidRPr="00DC2CC9" w:rsidRDefault="00C07AE1" w:rsidP="00C07AE1">
      <w:pPr>
        <w:pStyle w:val="afffffffff1"/>
        <w:rPr>
          <w:rFonts w:ascii="Times New Roman"/>
        </w:rPr>
      </w:pPr>
      <w:r w:rsidRPr="00DC2CC9">
        <w:rPr>
          <w:rFonts w:ascii="Times New Roman" w:hint="eastAsia"/>
        </w:rPr>
        <w:t>罕遇地震、极罕遇地震作用下隔震支座的水平位移可根据以下原则确定：</w:t>
      </w:r>
    </w:p>
    <w:p w14:paraId="7BA83BD2" w14:textId="51A1C50E" w:rsidR="00C07AE1" w:rsidRPr="00DC2CC9" w:rsidRDefault="00C07AE1" w:rsidP="00172204">
      <w:pPr>
        <w:pStyle w:val="af5"/>
        <w:numPr>
          <w:ilvl w:val="0"/>
          <w:numId w:val="52"/>
        </w:numPr>
      </w:pPr>
      <w:r w:rsidRPr="00DC2CC9">
        <w:rPr>
          <w:rFonts w:hint="eastAsia"/>
        </w:rPr>
        <w:t>一般情况下，应采用振型分解反应谱法结合迭代的方法或时程分析法，对隔震体系整体进行分析，确定不同设防地震作用下隔震层位移幅值；</w:t>
      </w:r>
    </w:p>
    <w:p w14:paraId="000BD7E9" w14:textId="03D5CC93" w:rsidR="00C07AE1" w:rsidRPr="00DC2CC9" w:rsidRDefault="00C07AE1" w:rsidP="00172204">
      <w:pPr>
        <w:pStyle w:val="af5"/>
      </w:pPr>
      <w:r w:rsidRPr="00DC2CC9">
        <w:rPr>
          <w:rFonts w:hint="eastAsia"/>
        </w:rPr>
        <w:t>采用底部剪力法确定地震作用的隔震结构，其隔震层水平位移可采用如下简化方法：</w:t>
      </w:r>
    </w:p>
    <w:p w14:paraId="6166B96B" w14:textId="77777777" w:rsidR="00C07AE1" w:rsidRPr="00DC2CC9" w:rsidRDefault="00C07AE1" w:rsidP="00C07AE1">
      <w:pPr>
        <w:spacing w:line="240" w:lineRule="atLeast"/>
        <w:ind w:firstLineChars="200" w:firstLine="420"/>
        <w:jc w:val="right"/>
        <w:rPr>
          <w:rFonts w:ascii="Times New Roman" w:hAnsi="Times New Roman"/>
        </w:rPr>
      </w:pPr>
      <m:oMath>
        <m:sSub>
          <m:sSubPr>
            <m:ctrlPr>
              <w:rPr>
                <w:rFonts w:ascii="Cambria Math" w:hAnsi="Cambria Math"/>
                <w:i/>
              </w:rPr>
            </m:ctrlPr>
          </m:sSubPr>
          <m:e>
            <m:r>
              <w:rPr>
                <w:rFonts w:ascii="Cambria Math" w:hAnsi="Cambria Math"/>
              </w:rPr>
              <m:t>u</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h</m:t>
            </m:r>
          </m:sub>
        </m:sSub>
      </m:oMath>
      <w:r w:rsidRPr="00DC2CC9">
        <w:rPr>
          <w:rFonts w:ascii="Times New Roman" w:hAnsi="Times New Roman"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hint="eastAsia"/>
        </w:rPr>
        <w:t>（</w:t>
      </w:r>
      <w:r w:rsidRPr="00DC2CC9">
        <w:rPr>
          <w:rFonts w:ascii="Times New Roman" w:hAnsi="Times New Roman" w:hint="eastAsia"/>
        </w:rPr>
        <w:t>14</w:t>
      </w:r>
      <w:r w:rsidRPr="00DC2CC9">
        <w:rPr>
          <w:rFonts w:ascii="Times New Roman" w:hAnsi="Times New Roman" w:hint="eastAsia"/>
        </w:rPr>
        <w:t>）</w:t>
      </w:r>
    </w:p>
    <w:p w14:paraId="3CE42B6B" w14:textId="77777777" w:rsidR="00C07AE1" w:rsidRPr="00DC2CC9" w:rsidRDefault="00C07AE1" w:rsidP="00172204">
      <w:pPr>
        <w:ind w:leftChars="600" w:left="600" w:firstLineChars="300" w:firstLine="300"/>
        <w:rPr>
          <w:rFonts w:ascii="Times New Roman" w:hAnsi="Times New Roman"/>
        </w:rPr>
      </w:pPr>
      <w:r w:rsidRPr="00DC2CC9">
        <w:rPr>
          <w:rFonts w:ascii="Times New Roman" w:hAnsi="Times New Roman" w:hint="eastAsia"/>
        </w:rPr>
        <w:lastRenderedPageBreak/>
        <w:t>式中：</w:t>
      </w:r>
    </w:p>
    <w:p w14:paraId="18627E6A" w14:textId="77777777" w:rsidR="00C07AE1" w:rsidRPr="00DC2CC9" w:rsidRDefault="00C07AE1" w:rsidP="00172204">
      <w:pPr>
        <w:ind w:leftChars="600" w:left="600" w:firstLineChars="300" w:firstLine="300"/>
        <w:rPr>
          <w:rFonts w:ascii="Times New Roman" w:hAnsi="Times New Roman"/>
        </w:rPr>
      </w:pPr>
      <w:r w:rsidRPr="00DC2CC9">
        <w:rPr>
          <w:rFonts w:ascii="Times New Roman" w:hAnsi="Times New Roman" w:hint="eastAsia"/>
        </w:rPr>
        <w:t>u</w:t>
      </w:r>
      <w:r w:rsidRPr="00172204">
        <w:rPr>
          <w:rFonts w:ascii="Times New Roman" w:hAnsi="Times New Roman" w:hint="eastAsia"/>
        </w:rPr>
        <w:t>h</w:t>
      </w:r>
      <w:r w:rsidRPr="00DC2CC9">
        <w:rPr>
          <w:rFonts w:ascii="Times New Roman" w:hAnsi="Times New Roman" w:hint="eastAsia"/>
        </w:rPr>
        <w:t>——隔震层水平位移，单位为毫米（</w:t>
      </w:r>
      <w:r w:rsidRPr="00DC2CC9">
        <w:rPr>
          <w:rFonts w:ascii="Times New Roman" w:hAnsi="Times New Roman" w:hint="eastAsia"/>
        </w:rPr>
        <w:t>mm</w:t>
      </w:r>
      <w:r w:rsidRPr="00DC2CC9">
        <w:rPr>
          <w:rFonts w:ascii="Times New Roman" w:hAnsi="Times New Roman" w:hint="eastAsia"/>
        </w:rPr>
        <w:t>）；</w:t>
      </w:r>
    </w:p>
    <w:p w14:paraId="15987A7B" w14:textId="77777777" w:rsidR="00C07AE1" w:rsidRPr="00DC2CC9" w:rsidRDefault="00C07AE1" w:rsidP="00172204">
      <w:pPr>
        <w:ind w:leftChars="600" w:left="600" w:firstLineChars="300" w:firstLine="300"/>
        <w:rPr>
          <w:rFonts w:ascii="Times New Roman" w:hAnsi="Times New Roman"/>
        </w:rPr>
      </w:pPr>
      <w:r w:rsidRPr="00DC2CC9">
        <w:rPr>
          <w:rFonts w:ascii="Times New Roman" w:hAnsi="Times New Roman" w:hint="eastAsia"/>
        </w:rPr>
        <w:t>F</w:t>
      </w:r>
      <w:r w:rsidRPr="00172204">
        <w:rPr>
          <w:rFonts w:ascii="Times New Roman" w:hAnsi="Times New Roman" w:hint="eastAsia"/>
        </w:rPr>
        <w:t>h</w:t>
      </w:r>
      <w:r w:rsidRPr="00DC2CC9">
        <w:rPr>
          <w:rFonts w:ascii="Times New Roman" w:hAnsi="Times New Roman" w:hint="eastAsia"/>
        </w:rPr>
        <w:t>——隔震层的水平剪力，单位为千牛（</w:t>
      </w:r>
      <w:r w:rsidRPr="00DC2CC9">
        <w:rPr>
          <w:rFonts w:ascii="Times New Roman" w:hAnsi="Times New Roman" w:hint="eastAsia"/>
        </w:rPr>
        <w:t>kN</w:t>
      </w:r>
      <w:r w:rsidRPr="00DC2CC9">
        <w:rPr>
          <w:rFonts w:ascii="Times New Roman" w:hAnsi="Times New Roman" w:hint="eastAsia"/>
        </w:rPr>
        <w:t>）；</w:t>
      </w:r>
    </w:p>
    <w:p w14:paraId="159F8F96" w14:textId="77777777" w:rsidR="00C07AE1" w:rsidRPr="00DC2CC9" w:rsidRDefault="00C07AE1" w:rsidP="00172204">
      <w:pPr>
        <w:ind w:leftChars="600" w:left="600" w:firstLineChars="300" w:firstLine="300"/>
        <w:rPr>
          <w:rFonts w:ascii="Times New Roman" w:hAnsi="Times New Roman"/>
        </w:rPr>
      </w:pPr>
      <w:r w:rsidRPr="00DC2CC9">
        <w:rPr>
          <w:rFonts w:ascii="Times New Roman" w:hAnsi="Times New Roman" w:hint="eastAsia"/>
        </w:rPr>
        <w:t>K</w:t>
      </w:r>
      <w:r w:rsidRPr="00172204">
        <w:rPr>
          <w:rFonts w:ascii="Times New Roman" w:hAnsi="Times New Roman" w:hint="eastAsia"/>
        </w:rPr>
        <w:t>h</w:t>
      </w:r>
      <w:r w:rsidRPr="00DC2CC9">
        <w:rPr>
          <w:rFonts w:ascii="Times New Roman" w:hAnsi="Times New Roman" w:hint="eastAsia"/>
        </w:rPr>
        <w:t>——隔震层的水平刚度，单位为千牛每毫米（</w:t>
      </w:r>
      <w:r w:rsidRPr="00DC2CC9">
        <w:rPr>
          <w:rFonts w:ascii="Times New Roman" w:hAnsi="Times New Roman" w:hint="eastAsia"/>
        </w:rPr>
        <w:t>kN/mm</w:t>
      </w:r>
      <w:r w:rsidRPr="00DC2CC9">
        <w:rPr>
          <w:rFonts w:ascii="Times New Roman" w:hAnsi="Times New Roman" w:hint="eastAsia"/>
        </w:rPr>
        <w:t>）。</w:t>
      </w:r>
    </w:p>
    <w:p w14:paraId="25542B3C" w14:textId="77777777" w:rsidR="00C07AE1" w:rsidRPr="00DC2CC9" w:rsidRDefault="00C07AE1" w:rsidP="00C07AE1">
      <w:pPr>
        <w:pStyle w:val="afffffffff1"/>
        <w:rPr>
          <w:rFonts w:ascii="Times New Roman"/>
        </w:rPr>
      </w:pPr>
      <w:r w:rsidRPr="00DC2CC9">
        <w:rPr>
          <w:rFonts w:ascii="Times New Roman" w:hint="eastAsia"/>
        </w:rPr>
        <w:t>隔震支座在地震作用下的水平位移应符合下式规定：</w:t>
      </w:r>
    </w:p>
    <w:p w14:paraId="290B6A0D" w14:textId="77777777" w:rsidR="00C07AE1" w:rsidRPr="00DC2CC9" w:rsidRDefault="00C07AE1" w:rsidP="00C07AE1">
      <w:pPr>
        <w:spacing w:line="240" w:lineRule="atLeast"/>
        <w:jc w:val="right"/>
        <w:rPr>
          <w:rFonts w:ascii="Times New Roman" w:hAnsi="Times New Roman" w:cs="Cambria Math"/>
        </w:rPr>
      </w:pPr>
      <m:oMath>
        <m:sSub>
          <m:sSubPr>
            <m:ctrlPr>
              <w:rPr>
                <w:rFonts w:ascii="Cambria Math" w:hAnsi="Cambria Math"/>
                <w:i/>
              </w:rPr>
            </m:ctrlPr>
          </m:sSubPr>
          <m:e>
            <m:r>
              <w:rPr>
                <w:rFonts w:ascii="Cambria Math" w:hAnsi="Cambria Math"/>
              </w:rPr>
              <m:t>u</m:t>
            </m:r>
          </m:e>
          <m:sub>
            <m:r>
              <w:rPr>
                <w:rFonts w:ascii="Cambria Math" w:hAnsi="Cambria Math"/>
              </w:rPr>
              <m:t>hi</m:t>
            </m:r>
          </m:sub>
        </m:sSub>
        <m:r>
          <w:rPr>
            <w:rFonts w:ascii="Cambria Math" w:hAnsi="Cambria Math" w:cs="Cambria Math"/>
          </w:rPr>
          <m:t>≤</m:t>
        </m:r>
        <m:d>
          <m:dPr>
            <m:begChr m:val="["/>
            <m:endChr m:val="]"/>
            <m:ctrlPr>
              <w:rPr>
                <w:rFonts w:ascii="Cambria Math" w:hAnsi="Cambria Math" w:cs="Cambria Math"/>
                <w:i/>
              </w:rPr>
            </m:ctrlPr>
          </m:dPr>
          <m:e>
            <m:sSub>
              <m:sSubPr>
                <m:ctrlPr>
                  <w:rPr>
                    <w:rFonts w:ascii="Cambria Math" w:hAnsi="Cambria Math"/>
                    <w:i/>
                  </w:rPr>
                </m:ctrlPr>
              </m:sSubPr>
              <m:e>
                <m:r>
                  <w:rPr>
                    <w:rFonts w:ascii="Cambria Math" w:hAnsi="Cambria Math"/>
                  </w:rPr>
                  <m:t>u</m:t>
                </m:r>
              </m:e>
              <m:sub>
                <m:r>
                  <w:rPr>
                    <w:rFonts w:ascii="Cambria Math" w:hAnsi="Cambria Math"/>
                  </w:rPr>
                  <m:t>hi</m:t>
                </m:r>
              </m:sub>
            </m:sSub>
          </m:e>
        </m:d>
      </m:oMath>
      <w:r w:rsidRPr="00DC2CC9">
        <w:rPr>
          <w:rFonts w:ascii="Times New Roman" w:hAnsi="Times New Roman" w:cs="Cambria Math" w:hint="eastAsia"/>
        </w:rPr>
        <w:t xml:space="preserve">       </w:t>
      </w:r>
      <w:r w:rsidRPr="00DC2CC9">
        <w:rPr>
          <w:rFonts w:ascii="Times New Roman" w:hAnsi="Times New Roman" w:hint="eastAsia"/>
          <w:sz w:val="20"/>
          <w:szCs w:val="22"/>
        </w:rPr>
        <w:t xml:space="preserve">    </w:t>
      </w:r>
      <w:r w:rsidRPr="00DC2CC9">
        <w:rPr>
          <w:rFonts w:ascii="Times New Roman" w:hAnsi="Times New Roman" w:hint="eastAsia"/>
          <w:sz w:val="20"/>
          <w:szCs w:val="22"/>
        </w:rPr>
        <w:t>····················</w:t>
      </w:r>
      <w:r w:rsidRPr="00DC2CC9">
        <w:rPr>
          <w:rFonts w:ascii="Times New Roman" w:hAnsi="Times New Roman" w:cs="Cambria Math" w:hint="eastAsia"/>
        </w:rPr>
        <w:t>（</w:t>
      </w:r>
      <w:r w:rsidRPr="00DC2CC9">
        <w:rPr>
          <w:rFonts w:ascii="Times New Roman" w:hAnsi="Times New Roman" w:cs="Cambria Math" w:hint="eastAsia"/>
        </w:rPr>
        <w:t>15</w:t>
      </w:r>
      <w:r w:rsidRPr="00DC2CC9">
        <w:rPr>
          <w:rFonts w:ascii="Times New Roman" w:hAnsi="Times New Roman" w:cs="Cambria Math" w:hint="eastAsia"/>
        </w:rPr>
        <w:t>）</w:t>
      </w:r>
    </w:p>
    <w:p w14:paraId="35F0329D"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式中：</w:t>
      </w:r>
    </w:p>
    <w:p w14:paraId="5AD28C39"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[u</w:t>
      </w:r>
      <w:r w:rsidRPr="00DC2CC9">
        <w:rPr>
          <w:rFonts w:ascii="Times New Roman" w:hAnsi="Times New Roman" w:cs="Cambria Math" w:hint="eastAsia"/>
          <w:vertAlign w:val="subscript"/>
        </w:rPr>
        <w:t>hi</w:t>
      </w:r>
      <w:r w:rsidRPr="00DC2CC9">
        <w:rPr>
          <w:rFonts w:ascii="Times New Roman" w:hAnsi="Times New Roman" w:cs="Cambria Math" w:hint="eastAsia"/>
        </w:rPr>
        <w:t>]</w:t>
      </w:r>
      <w:r w:rsidRPr="00DC2CC9">
        <w:rPr>
          <w:rFonts w:ascii="Times New Roman" w:hAnsi="Times New Roman" w:cs="Cambria Math" w:hint="eastAsia"/>
        </w:rPr>
        <w:t>——第</w:t>
      </w:r>
      <w:r w:rsidRPr="00DC2CC9">
        <w:rPr>
          <w:rFonts w:ascii="Times New Roman" w:hAnsi="Times New Roman" w:cs="Cambria Math" w:hint="eastAsia"/>
        </w:rPr>
        <w:t>i</w:t>
      </w:r>
      <w:r w:rsidRPr="00DC2CC9">
        <w:rPr>
          <w:rFonts w:ascii="Times New Roman" w:hAnsi="Times New Roman" w:cs="Cambria Math" w:hint="eastAsia"/>
        </w:rPr>
        <w:t>个隔震支座的水平位移限值，单位为毫米（</w:t>
      </w:r>
      <w:r w:rsidRPr="00DC2CC9">
        <w:rPr>
          <w:rFonts w:ascii="Times New Roman" w:hAnsi="Times New Roman" w:cs="Cambria Math" w:hint="eastAsia"/>
        </w:rPr>
        <w:t>mm</w:t>
      </w:r>
      <w:r w:rsidRPr="00DC2CC9">
        <w:rPr>
          <w:rFonts w:ascii="Times New Roman" w:hAnsi="Times New Roman" w:cs="Cambria Math" w:hint="eastAsia"/>
        </w:rPr>
        <w:t>）；</w:t>
      </w:r>
    </w:p>
    <w:p w14:paraId="5A5A42B8"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u</w:t>
      </w:r>
      <w:r w:rsidRPr="00DC2CC9">
        <w:rPr>
          <w:rFonts w:ascii="Times New Roman" w:hAnsi="Times New Roman" w:cs="Cambria Math" w:hint="eastAsia"/>
          <w:vertAlign w:val="subscript"/>
        </w:rPr>
        <w:t xml:space="preserve">hi  </w:t>
      </w:r>
      <w:r w:rsidRPr="00DC2CC9">
        <w:rPr>
          <w:rFonts w:ascii="Times New Roman" w:hAnsi="Times New Roman" w:cs="Cambria Math" w:hint="eastAsia"/>
        </w:rPr>
        <w:t>——第</w:t>
      </w:r>
      <w:r w:rsidRPr="00DC2CC9">
        <w:rPr>
          <w:rFonts w:ascii="Times New Roman" w:hAnsi="Times New Roman" w:cs="Cambria Math" w:hint="eastAsia"/>
        </w:rPr>
        <w:t>i</w:t>
      </w:r>
      <w:r w:rsidRPr="00DC2CC9">
        <w:rPr>
          <w:rFonts w:ascii="Times New Roman" w:hAnsi="Times New Roman" w:cs="Cambria Math" w:hint="eastAsia"/>
        </w:rPr>
        <w:t>个隔震支座考虑扭转的水平位移，单位为毫米（</w:t>
      </w:r>
      <w:r w:rsidRPr="00DC2CC9">
        <w:rPr>
          <w:rFonts w:ascii="Times New Roman" w:hAnsi="Times New Roman" w:cs="Cambria Math" w:hint="eastAsia"/>
        </w:rPr>
        <w:t>mm</w:t>
      </w:r>
      <w:r w:rsidRPr="00DC2CC9">
        <w:rPr>
          <w:rFonts w:ascii="Times New Roman" w:hAnsi="Times New Roman" w:cs="Cambria Math" w:hint="eastAsia"/>
        </w:rPr>
        <w:t>）；</w:t>
      </w:r>
    </w:p>
    <w:p w14:paraId="53BE68C8" w14:textId="77777777" w:rsidR="00C07AE1" w:rsidRPr="00DC2CC9" w:rsidRDefault="00C07AE1" w:rsidP="00C07AE1">
      <w:pPr>
        <w:ind w:firstLineChars="200" w:firstLine="420"/>
        <w:rPr>
          <w:rFonts w:ascii="Times New Roman" w:hAnsi="Times New Roman"/>
        </w:rPr>
      </w:pPr>
      <w:r w:rsidRPr="00DC2CC9">
        <w:rPr>
          <w:rFonts w:ascii="Times New Roman" w:hAnsi="Times New Roman" w:hint="eastAsia"/>
        </w:rPr>
        <w:t>隔震支座在地震作用下的水平位移按如下规定取值：</w:t>
      </w:r>
    </w:p>
    <w:p w14:paraId="4AC695A0" w14:textId="632F6AD2" w:rsidR="00C07AE1" w:rsidRPr="00DC2CC9" w:rsidRDefault="00C07AE1" w:rsidP="00421FBA">
      <w:pPr>
        <w:pStyle w:val="af5"/>
        <w:numPr>
          <w:ilvl w:val="0"/>
          <w:numId w:val="55"/>
        </w:numPr>
      </w:pPr>
      <w:r w:rsidRPr="00DC2CC9">
        <w:rPr>
          <w:rFonts w:hint="eastAsia"/>
        </w:rPr>
        <w:t>除特殊规定外，在罕遇地震作用下金属隔震支座的[u</w:t>
      </w:r>
      <w:r w:rsidRPr="00421FBA">
        <w:rPr>
          <w:rFonts w:hint="eastAsia"/>
          <w:vertAlign w:val="subscript"/>
        </w:rPr>
        <w:t>hi</w:t>
      </w:r>
      <w:r w:rsidRPr="00DC2CC9">
        <w:rPr>
          <w:rFonts w:hint="eastAsia"/>
        </w:rPr>
        <w:t>]取值不应大于其产品水平极限的0.85倍；</w:t>
      </w:r>
    </w:p>
    <w:p w14:paraId="3F66F437" w14:textId="23BA2BFD" w:rsidR="00C07AE1" w:rsidRPr="00DC2CC9" w:rsidRDefault="00C07AE1" w:rsidP="00421FBA">
      <w:pPr>
        <w:pStyle w:val="af5"/>
      </w:pPr>
      <w:r w:rsidRPr="00DC2CC9">
        <w:rPr>
          <w:rFonts w:hint="eastAsia"/>
        </w:rPr>
        <w:t>对特殊设防类建筑，在极罕遇地震作用下金属隔震支座的[u</w:t>
      </w:r>
      <w:r w:rsidRPr="00DC2CC9">
        <w:rPr>
          <w:rFonts w:hint="eastAsia"/>
          <w:vertAlign w:val="subscript"/>
        </w:rPr>
        <w:t>hi</w:t>
      </w:r>
      <w:r w:rsidRPr="00DC2CC9">
        <w:rPr>
          <w:rFonts w:hint="eastAsia"/>
        </w:rPr>
        <w:t>]值可取产品水平极限位移，隔震层宜设置超过极罕遇地震下位移的限位装置。</w:t>
      </w:r>
    </w:p>
    <w:p w14:paraId="6BB3BAB1" w14:textId="77777777" w:rsidR="00C07AE1" w:rsidRPr="00DC2CC9" w:rsidRDefault="00C07AE1" w:rsidP="00C07AE1">
      <w:pPr>
        <w:pStyle w:val="afffffffff1"/>
        <w:rPr>
          <w:rFonts w:ascii="Times New Roman"/>
        </w:rPr>
      </w:pPr>
      <w:r w:rsidRPr="00DC2CC9">
        <w:rPr>
          <w:rFonts w:ascii="Times New Roman" w:hint="eastAsia"/>
        </w:rPr>
        <w:t>隔震层的抗风承载力应符合下式规定：</w:t>
      </w:r>
    </w:p>
    <w:p w14:paraId="690E1AE6" w14:textId="77777777" w:rsidR="00C07AE1" w:rsidRPr="00DC2CC9" w:rsidRDefault="00C07AE1" w:rsidP="00C07AE1">
      <w:pPr>
        <w:spacing w:line="240" w:lineRule="atLeast"/>
        <w:jc w:val="right"/>
        <w:rPr>
          <w:rFonts w:ascii="Times New Roman" w:hAnsi="Times New Roman" w:cs="Cambria Math"/>
        </w:rPr>
      </w:pPr>
      <m:oMath>
        <m:sSub>
          <m:sSubPr>
            <m:ctrlPr>
              <w:rPr>
                <w:rFonts w:ascii="Cambria Math" w:hAnsi="Cambria Math" w:cs="Cambria Math"/>
                <w:i/>
              </w:rPr>
            </m:ctrlPr>
          </m:sSubPr>
          <m:e>
            <m:r>
              <w:rPr>
                <w:rFonts w:ascii="Cambria Math" w:hAnsi="Cambria Math" w:cs="Cambria Math"/>
              </w:rPr>
              <m:t>γ</m:t>
            </m:r>
          </m:e>
          <m:sub>
            <m:r>
              <w:rPr>
                <w:rFonts w:ascii="Cambria Math" w:hAnsi="Cambria Math" w:cs="Cambria Math"/>
              </w:rPr>
              <m:t>w</m:t>
            </m:r>
          </m:sub>
        </m:sSub>
        <m:sSub>
          <m:sSubPr>
            <m:ctrlPr>
              <w:rPr>
                <w:rFonts w:ascii="Cambria Math" w:hAnsi="Cambria Math" w:cs="Cambria Math"/>
                <w:i/>
              </w:rPr>
            </m:ctrlPr>
          </m:sSubPr>
          <m:e>
            <m:r>
              <w:rPr>
                <w:rFonts w:ascii="Cambria Math" w:hAnsi="Cambria Math" w:cs="Cambria Math"/>
              </w:rPr>
              <m:t>V</m:t>
            </m:r>
          </m:e>
          <m:sub>
            <m:r>
              <w:rPr>
                <w:rFonts w:ascii="Cambria Math" w:hAnsi="Cambria Math" w:cs="Cambria Math"/>
              </w:rPr>
              <m:t>wk</m:t>
            </m:r>
          </m:sub>
        </m:sSub>
        <m:r>
          <w:rPr>
            <w:rFonts w:ascii="Cambria Math" w:hAnsi="Cambria Math" w:cs="Cambria Math"/>
          </w:rPr>
          <m:t>≤</m:t>
        </m:r>
        <m:sSub>
          <m:sSubPr>
            <m:ctrlPr>
              <w:rPr>
                <w:rFonts w:ascii="Cambria Math" w:hAnsi="Cambria Math" w:cs="Cambria Math"/>
                <w:i/>
              </w:rPr>
            </m:ctrlPr>
          </m:sSubPr>
          <m:e>
            <m:r>
              <w:rPr>
                <w:rFonts w:ascii="Cambria Math" w:hAnsi="Cambria Math" w:cs="Cambria Math"/>
              </w:rPr>
              <m:t>V</m:t>
            </m:r>
          </m:e>
          <m:sub>
            <m:r>
              <w:rPr>
                <w:rFonts w:ascii="Cambria Math" w:hAnsi="Cambria Math" w:cs="Cambria Math"/>
              </w:rPr>
              <m:t>Rw</m:t>
            </m:r>
          </m:sub>
        </m:sSub>
      </m:oMath>
      <w:r w:rsidRPr="00DC2CC9">
        <w:rPr>
          <w:rFonts w:ascii="Times New Roman" w:hAnsi="Times New Roman" w:cs="Cambria Math" w:hint="eastAsia"/>
        </w:rPr>
        <w:t xml:space="preserve">           </w:t>
      </w:r>
      <w:r w:rsidRPr="00DC2CC9">
        <w:rPr>
          <w:rFonts w:ascii="Times New Roman" w:hAnsi="Times New Roman" w:hint="eastAsia"/>
          <w:sz w:val="20"/>
          <w:szCs w:val="22"/>
        </w:rPr>
        <w:t>····················</w:t>
      </w:r>
      <w:r w:rsidRPr="00DC2CC9">
        <w:rPr>
          <w:rFonts w:ascii="Times New Roman" w:hAnsi="Times New Roman" w:cs="Cambria Math" w:hint="eastAsia"/>
        </w:rPr>
        <w:t>（</w:t>
      </w:r>
      <w:r w:rsidRPr="00DC2CC9">
        <w:rPr>
          <w:rFonts w:ascii="Times New Roman" w:hAnsi="Times New Roman" w:cs="Cambria Math" w:hint="eastAsia"/>
        </w:rPr>
        <w:t>16</w:t>
      </w:r>
      <w:r w:rsidRPr="00DC2CC9">
        <w:rPr>
          <w:rFonts w:ascii="Times New Roman" w:hAnsi="Times New Roman" w:cs="Cambria Math" w:hint="eastAsia"/>
        </w:rPr>
        <w:t>）</w:t>
      </w:r>
    </w:p>
    <w:p w14:paraId="5D2ADA78"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式中：</w:t>
      </w:r>
    </w:p>
    <w:p w14:paraId="500C2388"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γ</w:t>
      </w:r>
      <w:r w:rsidRPr="00DC2CC9">
        <w:rPr>
          <w:rFonts w:ascii="Times New Roman" w:hAnsi="Times New Roman" w:cs="Cambria Math" w:hint="eastAsia"/>
          <w:vertAlign w:val="subscript"/>
        </w:rPr>
        <w:t>w</w:t>
      </w:r>
      <w:r w:rsidRPr="00DC2CC9">
        <w:rPr>
          <w:rFonts w:ascii="Times New Roman" w:hAnsi="Times New Roman" w:cs="Cambria Math" w:hint="eastAsia"/>
        </w:rPr>
        <w:t>——风荷载分项系数，采用</w:t>
      </w:r>
      <w:r w:rsidRPr="00DC2CC9">
        <w:rPr>
          <w:rFonts w:ascii="Times New Roman" w:hAnsi="Times New Roman" w:cs="Cambria Math" w:hint="eastAsia"/>
        </w:rPr>
        <w:t>1.4</w:t>
      </w:r>
      <w:r w:rsidRPr="00DC2CC9">
        <w:rPr>
          <w:rFonts w:ascii="Times New Roman" w:hAnsi="Times New Roman" w:cs="Cambria Math" w:hint="eastAsia"/>
        </w:rPr>
        <w:t>；</w:t>
      </w:r>
    </w:p>
    <w:p w14:paraId="7CBBEE7F"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V</w:t>
      </w:r>
      <w:r w:rsidRPr="00DC2CC9">
        <w:rPr>
          <w:rFonts w:ascii="Times New Roman" w:hAnsi="Times New Roman" w:cs="Cambria Math" w:hint="eastAsia"/>
          <w:vertAlign w:val="subscript"/>
        </w:rPr>
        <w:t>wk</w:t>
      </w:r>
      <w:r w:rsidRPr="00DC2CC9">
        <w:rPr>
          <w:rFonts w:ascii="Times New Roman" w:hAnsi="Times New Roman" w:cs="Cambria Math" w:hint="eastAsia"/>
        </w:rPr>
        <w:t>——风荷载作用下隔震层的水平剪力标准值，单位为牛顿（</w:t>
      </w:r>
      <w:r w:rsidRPr="00DC2CC9">
        <w:rPr>
          <w:rFonts w:ascii="Times New Roman" w:hAnsi="Times New Roman" w:cs="Cambria Math" w:hint="eastAsia"/>
        </w:rPr>
        <w:t>N</w:t>
      </w:r>
      <w:r w:rsidRPr="00DC2CC9">
        <w:rPr>
          <w:rFonts w:ascii="Times New Roman" w:hAnsi="Times New Roman" w:cs="Cambria Math" w:hint="eastAsia"/>
        </w:rPr>
        <w:t>）；</w:t>
      </w:r>
    </w:p>
    <w:p w14:paraId="50B97306" w14:textId="77777777" w:rsidR="00C07AE1" w:rsidRPr="00DC2CC9" w:rsidRDefault="00C07AE1" w:rsidP="00C07AE1">
      <w:pPr>
        <w:ind w:firstLineChars="200" w:firstLine="420"/>
        <w:rPr>
          <w:rFonts w:ascii="Times New Roman" w:hAnsi="Times New Roman" w:cs="Cambria Math"/>
        </w:rPr>
      </w:pPr>
      <w:r w:rsidRPr="00DC2CC9">
        <w:rPr>
          <w:rFonts w:ascii="Times New Roman" w:hAnsi="Times New Roman" w:cs="Cambria Math" w:hint="eastAsia"/>
        </w:rPr>
        <w:t>V</w:t>
      </w:r>
      <w:r w:rsidRPr="00DC2CC9">
        <w:rPr>
          <w:rFonts w:ascii="Times New Roman" w:hAnsi="Times New Roman" w:cs="Cambria Math" w:hint="eastAsia"/>
          <w:vertAlign w:val="subscript"/>
        </w:rPr>
        <w:t>Rw</w:t>
      </w:r>
      <w:r w:rsidRPr="00DC2CC9">
        <w:rPr>
          <w:rFonts w:ascii="Times New Roman" w:hAnsi="Times New Roman" w:cs="Cambria Math" w:hint="eastAsia"/>
        </w:rPr>
        <w:t>——隔震层抗风承载力设计值，单位为牛顿（</w:t>
      </w:r>
      <w:r w:rsidRPr="00DC2CC9">
        <w:rPr>
          <w:rFonts w:ascii="Times New Roman" w:hAnsi="Times New Roman" w:cs="Cambria Math" w:hint="eastAsia"/>
        </w:rPr>
        <w:t>N</w:t>
      </w:r>
      <w:r w:rsidRPr="00DC2CC9">
        <w:rPr>
          <w:rFonts w:ascii="Times New Roman" w:hAnsi="Times New Roman" w:cs="Cambria Math" w:hint="eastAsia"/>
        </w:rPr>
        <w:t>），隔震层抗风承载力由抗风装置和隔震支座的屈服力构成，按屈服强度设计值确定。</w:t>
      </w:r>
    </w:p>
    <w:p w14:paraId="757E94CD" w14:textId="77777777" w:rsidR="00C07AE1" w:rsidRPr="00DC2CC9" w:rsidRDefault="00C07AE1" w:rsidP="00C07AE1">
      <w:pPr>
        <w:pStyle w:val="afffffffff1"/>
        <w:rPr>
          <w:rFonts w:ascii="Times New Roman"/>
        </w:rPr>
      </w:pPr>
      <w:r w:rsidRPr="00DC2CC9">
        <w:rPr>
          <w:rFonts w:ascii="Times New Roman" w:hint="eastAsia"/>
        </w:rPr>
        <w:t>隔震房屋抗倾覆验算应符合下列要求：</w:t>
      </w:r>
    </w:p>
    <w:p w14:paraId="141F84B2" w14:textId="12D6F0D9" w:rsidR="00C07AE1" w:rsidRPr="00DC2CC9" w:rsidRDefault="00C07AE1" w:rsidP="00F26741">
      <w:pPr>
        <w:pStyle w:val="af5"/>
        <w:numPr>
          <w:ilvl w:val="0"/>
          <w:numId w:val="53"/>
        </w:numPr>
      </w:pPr>
      <w:r w:rsidRPr="00DC2CC9">
        <w:rPr>
          <w:rFonts w:hint="eastAsia"/>
        </w:rPr>
        <w:t>隔震建筑应进行结构整体抗倾覆验算和隔震支座拉压承载能力验算；</w:t>
      </w:r>
    </w:p>
    <w:p w14:paraId="18325CD6" w14:textId="3CCFA0E2" w:rsidR="00C07AE1" w:rsidRPr="00DC2CC9" w:rsidRDefault="00C07AE1" w:rsidP="00F26741">
      <w:pPr>
        <w:pStyle w:val="af5"/>
      </w:pPr>
      <w:r w:rsidRPr="00DC2CC9">
        <w:rPr>
          <w:rFonts w:hint="eastAsia"/>
        </w:rPr>
        <w:t>进行结构整体抗倾覆验算时，应按罕遇地震作用计算倾覆力矩，并按上部结构重力荷载代表值计算抗倾覆力矩，抗倾覆力矩与倾覆力矩之比不应小于1.1。抗倾覆力矩的计算可计入隔震层抗拉装置的作用；</w:t>
      </w:r>
    </w:p>
    <w:p w14:paraId="5F202BBF" w14:textId="031CF432" w:rsidR="00C07AE1" w:rsidRPr="00DC2CC9" w:rsidRDefault="00C07AE1" w:rsidP="00F26741">
      <w:pPr>
        <w:pStyle w:val="af5"/>
      </w:pPr>
      <w:r w:rsidRPr="00DC2CC9">
        <w:rPr>
          <w:rFonts w:hint="eastAsia"/>
        </w:rPr>
        <w:t>上部结构传递到隔震支座的重力荷载代表值应考虑倾覆力矩所引起的增加值；</w:t>
      </w:r>
    </w:p>
    <w:p w14:paraId="703B2C74" w14:textId="12FBB1F6" w:rsidR="00C07AE1" w:rsidRPr="00DC2CC9" w:rsidRDefault="00C07AE1" w:rsidP="00F26741">
      <w:pPr>
        <w:pStyle w:val="af5"/>
      </w:pPr>
      <w:r w:rsidRPr="00DC2CC9">
        <w:rPr>
          <w:rFonts w:hint="eastAsia"/>
        </w:rPr>
        <w:t>隔震层在罕遇地震下应保持稳定，不应出现不可恢复的变形；</w:t>
      </w:r>
    </w:p>
    <w:p w14:paraId="292557D3" w14:textId="3DEF50FC" w:rsidR="00C07AE1" w:rsidRPr="00DC2CC9" w:rsidRDefault="00C07AE1" w:rsidP="00F26741">
      <w:pPr>
        <w:pStyle w:val="af5"/>
      </w:pPr>
      <w:r w:rsidRPr="00DC2CC9">
        <w:rPr>
          <w:rFonts w:hint="eastAsia"/>
        </w:rPr>
        <w:t>当隔震层隔震支座出现拉应力时，同一地震动加速度时程作用下出现拉应力的支座数量不宜超过支座总数的30%；对出现拉应力的支座宜采用具有可靠抗拉功能的隔震支座。</w:t>
      </w:r>
    </w:p>
    <w:p w14:paraId="18A712E5" w14:textId="77777777" w:rsidR="00C07AE1" w:rsidRPr="00DC2CC9" w:rsidRDefault="00C07AE1" w:rsidP="00C07AE1">
      <w:pPr>
        <w:pStyle w:val="afffffffff1"/>
        <w:rPr>
          <w:rFonts w:ascii="Times New Roman"/>
        </w:rPr>
      </w:pPr>
      <w:r w:rsidRPr="00DC2CC9">
        <w:rPr>
          <w:rFonts w:ascii="Times New Roman" w:hint="eastAsia"/>
        </w:rPr>
        <w:t>穿越隔震层和跨越隔离缝的建筑隔震柔性连接系统应进行水平位移变形设计和转角变形设计，柔性连接压力管道应进行应力分析验算。</w:t>
      </w:r>
    </w:p>
    <w:p w14:paraId="5C8C9B7A" w14:textId="167242E4" w:rsidR="00C07AE1" w:rsidRPr="00DC2CC9" w:rsidRDefault="006F2341" w:rsidP="00C07AE1">
      <w:pPr>
        <w:pStyle w:val="affd"/>
        <w:spacing w:before="156" w:after="156"/>
        <w:rPr>
          <w:rFonts w:ascii="Times New Roman"/>
        </w:rPr>
      </w:pPr>
      <w:bookmarkStart w:id="81" w:name="_Toc178367388"/>
      <w:r>
        <w:rPr>
          <w:rFonts w:ascii="Times New Roman" w:hint="eastAsia"/>
        </w:rPr>
        <w:t>隔震</w:t>
      </w:r>
      <w:r w:rsidR="00C07AE1" w:rsidRPr="00DC2CC9">
        <w:rPr>
          <w:rFonts w:ascii="Times New Roman" w:hint="eastAsia"/>
        </w:rPr>
        <w:t>支座与结构的连接</w:t>
      </w:r>
      <w:bookmarkEnd w:id="81"/>
    </w:p>
    <w:p w14:paraId="193591AE" w14:textId="3F911807" w:rsidR="00C07AE1" w:rsidRPr="00DC2CC9" w:rsidRDefault="006F2341" w:rsidP="00C07AE1">
      <w:pPr>
        <w:pStyle w:val="afffffffff1"/>
        <w:rPr>
          <w:rFonts w:ascii="Times New Roman"/>
        </w:rPr>
      </w:pPr>
      <w:r>
        <w:rPr>
          <w:rFonts w:ascii="Times New Roman" w:hint="eastAsia"/>
        </w:rPr>
        <w:t>隔震</w:t>
      </w:r>
      <w:r w:rsidR="00C07AE1" w:rsidRPr="00DC2CC9">
        <w:rPr>
          <w:rFonts w:ascii="Times New Roman" w:hint="eastAsia"/>
        </w:rPr>
        <w:t>支座连接螺栓、连接板和相关预埋件的设计应符合</w:t>
      </w:r>
      <w:r w:rsidR="00C07AE1" w:rsidRPr="00DC2CC9">
        <w:rPr>
          <w:rFonts w:ascii="Times New Roman" w:hint="eastAsia"/>
        </w:rPr>
        <w:t>GB/T 51408</w:t>
      </w:r>
      <w:r w:rsidR="00C07AE1" w:rsidRPr="00DC2CC9">
        <w:rPr>
          <w:rFonts w:ascii="Times New Roman" w:hint="eastAsia"/>
        </w:rPr>
        <w:t>的相关规定。</w:t>
      </w:r>
    </w:p>
    <w:p w14:paraId="37228B71" w14:textId="037C426A" w:rsidR="00C07AE1" w:rsidRPr="00DC2CC9" w:rsidRDefault="006F2341" w:rsidP="00C07AE1">
      <w:pPr>
        <w:pStyle w:val="afffffffff1"/>
        <w:rPr>
          <w:rFonts w:ascii="Times New Roman"/>
        </w:rPr>
      </w:pPr>
      <w:r>
        <w:rPr>
          <w:rFonts w:ascii="Times New Roman" w:hint="eastAsia"/>
        </w:rPr>
        <w:t>隔震</w:t>
      </w:r>
      <w:r w:rsidR="00C07AE1" w:rsidRPr="00DC2CC9">
        <w:rPr>
          <w:rFonts w:ascii="Times New Roman" w:hint="eastAsia"/>
        </w:rPr>
        <w:t>支座外露的预埋件应有可靠的防锈措施，</w:t>
      </w:r>
      <w:r>
        <w:rPr>
          <w:rFonts w:ascii="Times New Roman" w:hint="eastAsia"/>
        </w:rPr>
        <w:t>隔震</w:t>
      </w:r>
      <w:r w:rsidR="00C07AE1" w:rsidRPr="00DC2CC9">
        <w:rPr>
          <w:rFonts w:ascii="Times New Roman" w:hint="eastAsia"/>
        </w:rPr>
        <w:t>支座外露的金属部件表面应进行防腐处理。</w:t>
      </w:r>
    </w:p>
    <w:p w14:paraId="434C2F9D" w14:textId="3D52526E" w:rsidR="00C07AE1" w:rsidRPr="00DC2CC9" w:rsidRDefault="00C07AE1" w:rsidP="00C07AE1">
      <w:pPr>
        <w:pStyle w:val="afffffffff1"/>
        <w:rPr>
          <w:rFonts w:ascii="Times New Roman"/>
        </w:rPr>
      </w:pPr>
      <w:r w:rsidRPr="00DC2CC9">
        <w:rPr>
          <w:rFonts w:ascii="Times New Roman" w:hint="eastAsia"/>
        </w:rPr>
        <w:t>设置</w:t>
      </w:r>
      <w:r w:rsidR="006F2341">
        <w:rPr>
          <w:rFonts w:ascii="Times New Roman" w:hint="eastAsia"/>
        </w:rPr>
        <w:t>隔震</w:t>
      </w:r>
      <w:r w:rsidRPr="00DC2CC9">
        <w:rPr>
          <w:rFonts w:ascii="Times New Roman" w:hint="eastAsia"/>
        </w:rPr>
        <w:t>支座的柱头应有防止局部受压破坏的构造措施。</w:t>
      </w:r>
    </w:p>
    <w:p w14:paraId="5CCB7166" w14:textId="77777777" w:rsidR="00C07AE1" w:rsidRPr="00DC2CC9" w:rsidRDefault="00C07AE1" w:rsidP="00C07AE1">
      <w:pPr>
        <w:pStyle w:val="affd"/>
        <w:spacing w:before="156" w:after="156"/>
        <w:rPr>
          <w:rFonts w:ascii="Times New Roman"/>
        </w:rPr>
      </w:pPr>
      <w:bookmarkStart w:id="82" w:name="_Toc178367389"/>
      <w:r w:rsidRPr="00DC2CC9">
        <w:rPr>
          <w:rFonts w:ascii="Times New Roman" w:hint="eastAsia"/>
        </w:rPr>
        <w:t>隔离缝</w:t>
      </w:r>
      <w:bookmarkEnd w:id="82"/>
    </w:p>
    <w:p w14:paraId="03CA4E52" w14:textId="77777777" w:rsidR="00C07AE1" w:rsidRPr="00DC2CC9" w:rsidRDefault="00C07AE1" w:rsidP="00C07AE1">
      <w:pPr>
        <w:pStyle w:val="afffffffff1"/>
        <w:rPr>
          <w:rFonts w:ascii="Times New Roman"/>
        </w:rPr>
      </w:pPr>
      <w:r w:rsidRPr="00DC2CC9">
        <w:rPr>
          <w:rFonts w:ascii="Times New Roman" w:hint="eastAsia"/>
        </w:rPr>
        <w:lastRenderedPageBreak/>
        <w:t>上部结构与周围固定物之间应设置完全贯通的竖向隔离缝以避免罕遇地震作用下可能的阻挡和碰撞，隔离缝宽度不应小于隔震支座在罕遇地震作用下最大水平位移的</w:t>
      </w:r>
      <w:r w:rsidRPr="00DC2CC9">
        <w:rPr>
          <w:rFonts w:ascii="Times New Roman" w:hint="eastAsia"/>
        </w:rPr>
        <w:t xml:space="preserve"> 1.2 </w:t>
      </w:r>
      <w:r w:rsidRPr="00DC2CC9">
        <w:rPr>
          <w:rFonts w:ascii="Times New Roman" w:hint="eastAsia"/>
        </w:rPr>
        <w:t>倍，且不应小于</w:t>
      </w:r>
      <w:r w:rsidRPr="00DC2CC9">
        <w:rPr>
          <w:rFonts w:ascii="Times New Roman" w:hint="eastAsia"/>
        </w:rPr>
        <w:t>300 mm</w:t>
      </w:r>
      <w:r w:rsidRPr="00DC2CC9">
        <w:rPr>
          <w:rFonts w:ascii="Times New Roman" w:hint="eastAsia"/>
        </w:rPr>
        <w:t>。对相邻隔震结构之间的隔离缝，缝宽取最大水平位移值之和，且不应小于</w:t>
      </w:r>
      <w:r w:rsidRPr="00DC2CC9">
        <w:rPr>
          <w:rFonts w:ascii="Times New Roman" w:hint="eastAsia"/>
        </w:rPr>
        <w:t>600 mm</w:t>
      </w:r>
      <w:r w:rsidRPr="00DC2CC9">
        <w:rPr>
          <w:rFonts w:ascii="Times New Roman" w:hint="eastAsia"/>
        </w:rPr>
        <w:t>。对特殊设防类建筑，隔离缝宽度不应小于隔震支座在极罕遇地震下最大水平位移。</w:t>
      </w:r>
    </w:p>
    <w:p w14:paraId="032B415C" w14:textId="77777777" w:rsidR="00C07AE1" w:rsidRPr="00DC2CC9" w:rsidRDefault="00C07AE1" w:rsidP="00C07AE1">
      <w:pPr>
        <w:pStyle w:val="afffffffff1"/>
        <w:rPr>
          <w:rFonts w:ascii="Times New Roman"/>
        </w:rPr>
      </w:pPr>
      <w:r w:rsidRPr="00DC2CC9">
        <w:rPr>
          <w:rFonts w:ascii="Times New Roman" w:hint="eastAsia"/>
        </w:rPr>
        <w:t>上部结构与下部结构或室外地面之间应设置完全贯通的水平隔离缝，水平隔离缝高度不宜小于</w:t>
      </w:r>
      <w:r w:rsidRPr="00DC2CC9">
        <w:rPr>
          <w:rFonts w:ascii="Times New Roman" w:hint="eastAsia"/>
        </w:rPr>
        <w:t>50 mm</w:t>
      </w:r>
      <w:r w:rsidRPr="00DC2CC9">
        <w:rPr>
          <w:rFonts w:ascii="Times New Roman" w:hint="eastAsia"/>
        </w:rPr>
        <w:t>，并应采用柔性材料填塞进行密封处理。</w:t>
      </w:r>
    </w:p>
    <w:p w14:paraId="2D772849" w14:textId="77777777" w:rsidR="00C07AE1" w:rsidRPr="00DC2CC9" w:rsidRDefault="00C07AE1" w:rsidP="00C07AE1">
      <w:pPr>
        <w:pStyle w:val="afffffffff1"/>
        <w:rPr>
          <w:rFonts w:ascii="Times New Roman"/>
        </w:rPr>
      </w:pPr>
      <w:r w:rsidRPr="00DC2CC9">
        <w:rPr>
          <w:rFonts w:ascii="Times New Roman" w:hint="eastAsia"/>
        </w:rPr>
        <w:t>采用悬吊式方案穿越隔震层的电梯井，在电梯井底部可设置隔震支座，也可直接悬空，电梯井与下部结构之间的隔离缝宽度不应小于所在结构与周围固定物的隔离缝宽度。</w:t>
      </w:r>
    </w:p>
    <w:p w14:paraId="4F514566" w14:textId="77777777" w:rsidR="00C07AE1" w:rsidRPr="00DC2CC9" w:rsidRDefault="00C07AE1" w:rsidP="00C07AE1">
      <w:pPr>
        <w:pStyle w:val="afffffffff1"/>
        <w:rPr>
          <w:rFonts w:ascii="Times New Roman"/>
        </w:rPr>
      </w:pPr>
      <w:r w:rsidRPr="00DC2CC9">
        <w:rPr>
          <w:rFonts w:ascii="Times New Roman" w:hint="eastAsia"/>
        </w:rPr>
        <w:t>一般情况下，隔离缝顶部、悬吊式电梯井出入口与下部结构之间，应设置滑动盖板，滑动盖板的设计滑动距离不应小于所在结构与周围固定物的隔离缝宽度，且应满足检修及清理的要求。</w:t>
      </w:r>
    </w:p>
    <w:p w14:paraId="7BE03277" w14:textId="77777777" w:rsidR="00C07AE1" w:rsidRPr="00DC2CC9" w:rsidRDefault="00C07AE1" w:rsidP="00C07AE1">
      <w:pPr>
        <w:pStyle w:val="affd"/>
        <w:spacing w:before="156" w:after="156"/>
        <w:rPr>
          <w:rFonts w:ascii="Times New Roman"/>
        </w:rPr>
      </w:pPr>
      <w:r w:rsidRPr="00DC2CC9">
        <w:rPr>
          <w:rFonts w:ascii="Times New Roman" w:hint="eastAsia"/>
        </w:rPr>
        <w:t xml:space="preserve"> </w:t>
      </w:r>
      <w:bookmarkStart w:id="83" w:name="_Toc178367390"/>
      <w:r w:rsidRPr="00DC2CC9">
        <w:rPr>
          <w:rFonts w:ascii="Times New Roman" w:hint="eastAsia"/>
        </w:rPr>
        <w:t>穿越隔震层的固定设施和管线</w:t>
      </w:r>
      <w:bookmarkEnd w:id="83"/>
    </w:p>
    <w:p w14:paraId="62FD0C52" w14:textId="77777777" w:rsidR="00C07AE1" w:rsidRPr="00DC2CC9" w:rsidRDefault="00C07AE1" w:rsidP="00C07AE1">
      <w:pPr>
        <w:pStyle w:val="afffffffff1"/>
        <w:rPr>
          <w:rFonts w:ascii="Times New Roman"/>
        </w:rPr>
      </w:pPr>
      <w:r w:rsidRPr="00DC2CC9">
        <w:rPr>
          <w:rFonts w:ascii="Times New Roman" w:hint="eastAsia"/>
        </w:rPr>
        <w:t>穿越隔震层的楼梯、扶手、门厅入口、踏步、电梯、地下室坡道、车道入口及其它固定设施，应避免地震作用下可能的阻挡和碰撞，在适当部位做断开或可变形的构造措施。</w:t>
      </w:r>
    </w:p>
    <w:p w14:paraId="20CE80D4" w14:textId="77777777" w:rsidR="00C07AE1" w:rsidRPr="00DC2CC9" w:rsidRDefault="00C07AE1" w:rsidP="00C07AE1">
      <w:pPr>
        <w:pStyle w:val="afffffffff1"/>
        <w:rPr>
          <w:rFonts w:ascii="Times New Roman"/>
        </w:rPr>
      </w:pPr>
      <w:r w:rsidRPr="00DC2CC9">
        <w:rPr>
          <w:rFonts w:ascii="Times New Roman" w:hint="eastAsia"/>
        </w:rPr>
        <w:t>穿越隔震层和跨越隔离缝的管道、线缆应采用建筑隔震柔性连接系统，预留的柔性连接水平变形量除不应小于隔离缝宽度外，应进行地震工况下的强度验算。</w:t>
      </w:r>
    </w:p>
    <w:p w14:paraId="2D311318" w14:textId="77777777" w:rsidR="00C07AE1" w:rsidRPr="00DC2CC9" w:rsidRDefault="00C07AE1" w:rsidP="00C07AE1">
      <w:pPr>
        <w:pStyle w:val="afffffffff1"/>
        <w:rPr>
          <w:rFonts w:ascii="Times New Roman"/>
        </w:rPr>
      </w:pPr>
      <w:r w:rsidRPr="00DC2CC9">
        <w:rPr>
          <w:rFonts w:ascii="Times New Roman" w:hint="eastAsia"/>
        </w:rPr>
        <w:t>穿越隔震层的重要管道、污水管道、可能泄露有害介质或可燃介质的管道，在隔震层处应采用建筑隔震柔性连接系统，其预留的水平变形量不应小于隔离缝宽度的</w:t>
      </w:r>
      <w:r w:rsidRPr="00DC2CC9">
        <w:rPr>
          <w:rFonts w:ascii="Times New Roman" w:hint="eastAsia"/>
        </w:rPr>
        <w:t>1.4</w:t>
      </w:r>
      <w:r w:rsidRPr="00DC2CC9">
        <w:rPr>
          <w:rFonts w:ascii="Times New Roman" w:hint="eastAsia"/>
        </w:rPr>
        <w:t>倍。</w:t>
      </w:r>
    </w:p>
    <w:p w14:paraId="4EB63D89" w14:textId="77777777" w:rsidR="00C07AE1" w:rsidRPr="00DC2CC9" w:rsidRDefault="00C07AE1" w:rsidP="00C07AE1">
      <w:pPr>
        <w:pStyle w:val="afffffffff1"/>
        <w:rPr>
          <w:rFonts w:ascii="Times New Roman"/>
        </w:rPr>
      </w:pPr>
      <w:r w:rsidRPr="00DC2CC9">
        <w:rPr>
          <w:rFonts w:ascii="Times New Roman" w:hint="eastAsia"/>
        </w:rPr>
        <w:t>穿越隔震层及跨越隔震缝的建筑隔震柔性连接系统，柔性连接处应设置抗震支吊架。</w:t>
      </w:r>
    </w:p>
    <w:p w14:paraId="406384FD" w14:textId="77777777" w:rsidR="00C07AE1" w:rsidRPr="00DC2CC9" w:rsidRDefault="00C07AE1" w:rsidP="00C07AE1">
      <w:pPr>
        <w:pStyle w:val="afffffffff1"/>
        <w:rPr>
          <w:rFonts w:ascii="Times New Roman"/>
        </w:rPr>
      </w:pPr>
      <w:r w:rsidRPr="00DC2CC9">
        <w:rPr>
          <w:rFonts w:ascii="Times New Roman" w:hint="eastAsia"/>
        </w:rPr>
        <w:t>给水、消防系统、空调水等压力管道采用柔性连接时，宜采取增设阻尼等防冲击措施。</w:t>
      </w:r>
    </w:p>
    <w:p w14:paraId="44F1BE0B" w14:textId="77777777" w:rsidR="00C07AE1" w:rsidRPr="00DC2CC9" w:rsidRDefault="00C07AE1" w:rsidP="00C07AE1">
      <w:pPr>
        <w:pStyle w:val="afffffffff1"/>
        <w:rPr>
          <w:rFonts w:ascii="Times New Roman"/>
        </w:rPr>
      </w:pPr>
      <w:r w:rsidRPr="00DC2CC9">
        <w:rPr>
          <w:rFonts w:ascii="Times New Roman" w:hint="eastAsia"/>
        </w:rPr>
        <w:t>利用构件钢筋作避雷针时，应采用柔性导线连接隔震层上部结构和下部结构的钢筋，其预留的水平变形量不应小于隔离缝宽度的</w:t>
      </w:r>
      <w:r w:rsidRPr="00DC2CC9">
        <w:rPr>
          <w:rFonts w:ascii="Times New Roman" w:hint="eastAsia"/>
        </w:rPr>
        <w:t>1.4</w:t>
      </w:r>
      <w:r w:rsidRPr="00DC2CC9">
        <w:rPr>
          <w:rFonts w:ascii="Times New Roman" w:hint="eastAsia"/>
        </w:rPr>
        <w:t>倍。</w:t>
      </w:r>
    </w:p>
    <w:p w14:paraId="09148790" w14:textId="77777777" w:rsidR="00C07AE1" w:rsidRPr="00DC2CC9" w:rsidRDefault="00C07AE1" w:rsidP="00C07AE1">
      <w:pPr>
        <w:pStyle w:val="afffffffff1"/>
        <w:rPr>
          <w:rFonts w:ascii="Times New Roman"/>
        </w:rPr>
      </w:pPr>
      <w:r w:rsidRPr="00DC2CC9">
        <w:rPr>
          <w:rFonts w:ascii="Times New Roman" w:hint="eastAsia"/>
        </w:rPr>
        <w:t>立面幕墙在隔离缝位置宜采用分离式幕墙，缝两侧幕墙独立支承，尽量减少相互作用。当采用整体式幕墙时，可根据破坏后果的严重性允许采用设防水准下的隔离缝宽度进行幕墙构造设计。</w:t>
      </w:r>
    </w:p>
    <w:p w14:paraId="73A15170" w14:textId="77777777" w:rsidR="00C07AE1" w:rsidRPr="00DC2CC9" w:rsidRDefault="00C07AE1" w:rsidP="00C07AE1">
      <w:pPr>
        <w:pStyle w:val="afffffffff1"/>
        <w:rPr>
          <w:rFonts w:ascii="Times New Roman"/>
        </w:rPr>
      </w:pPr>
      <w:r w:rsidRPr="00DC2CC9">
        <w:rPr>
          <w:rFonts w:ascii="Times New Roman" w:hint="eastAsia"/>
        </w:rPr>
        <w:t>柔性连接部件的连接方式及设置位置应便于检修和更换。</w:t>
      </w:r>
    </w:p>
    <w:p w14:paraId="0EBE2363" w14:textId="77777777" w:rsidR="00C07AE1" w:rsidRPr="00DC2CC9" w:rsidRDefault="00C07AE1" w:rsidP="00C07AE1">
      <w:pPr>
        <w:pStyle w:val="affd"/>
        <w:spacing w:before="156" w:after="156"/>
        <w:rPr>
          <w:rFonts w:ascii="Times New Roman"/>
        </w:rPr>
      </w:pPr>
      <w:bookmarkStart w:id="84" w:name="_Toc178367391"/>
      <w:r w:rsidRPr="00DC2CC9">
        <w:rPr>
          <w:rFonts w:ascii="Times New Roman" w:hint="eastAsia"/>
        </w:rPr>
        <w:t>检修及隔震标识</w:t>
      </w:r>
      <w:bookmarkEnd w:id="84"/>
    </w:p>
    <w:p w14:paraId="2F603D72" w14:textId="77777777" w:rsidR="00C07AE1" w:rsidRPr="00DC2CC9" w:rsidRDefault="00C07AE1" w:rsidP="00C07AE1">
      <w:pPr>
        <w:pStyle w:val="afffffffff1"/>
        <w:rPr>
          <w:rFonts w:ascii="Times New Roman"/>
        </w:rPr>
      </w:pPr>
      <w:r w:rsidRPr="00DC2CC9">
        <w:rPr>
          <w:rFonts w:ascii="Times New Roman" w:hint="eastAsia"/>
        </w:rPr>
        <w:t>隔震层应设置进人检查口，进人检查口的尺寸应便于人员进入，且符合运输隔震支座、连接部件及其他施工器械的规定。</w:t>
      </w:r>
    </w:p>
    <w:p w14:paraId="1A2205E6" w14:textId="77777777" w:rsidR="00C07AE1" w:rsidRPr="00DC2CC9" w:rsidRDefault="00C07AE1" w:rsidP="00C07AE1">
      <w:pPr>
        <w:pStyle w:val="afffffffff1"/>
        <w:rPr>
          <w:rFonts w:ascii="Times New Roman"/>
        </w:rPr>
      </w:pPr>
      <w:r w:rsidRPr="00DC2CC9">
        <w:rPr>
          <w:rFonts w:ascii="Times New Roman" w:hint="eastAsia"/>
        </w:rPr>
        <w:t>隔震支座安装完成后应留有便于观察和维修更换的空间，宜设置必要的照明、通风等设施。</w:t>
      </w:r>
    </w:p>
    <w:p w14:paraId="7757576C" w14:textId="3AC74954" w:rsidR="00C07AE1" w:rsidRPr="00DC2CC9" w:rsidRDefault="00C07AE1" w:rsidP="00C07AE1">
      <w:pPr>
        <w:pStyle w:val="afffffffff1"/>
        <w:rPr>
          <w:rFonts w:ascii="Times New Roman" w:hint="eastAsia"/>
        </w:rPr>
      </w:pPr>
      <w:r w:rsidRPr="00DC2CC9">
        <w:rPr>
          <w:rFonts w:ascii="Times New Roman" w:hint="eastAsia"/>
        </w:rPr>
        <w:t>隔震建筑应设置标识，标识内容应包括隔震装置的型号、规格及维护要求，以及隔离缝的检查和维护要求。</w:t>
      </w:r>
    </w:p>
    <w:p w14:paraId="23C9F3FF" w14:textId="77777777" w:rsidR="0014029F" w:rsidRPr="00DC2CC9" w:rsidRDefault="0014029F" w:rsidP="0014029F">
      <w:pPr>
        <w:pStyle w:val="affc"/>
        <w:spacing w:before="312" w:after="312"/>
        <w:rPr>
          <w:rFonts w:ascii="Times New Roman"/>
        </w:rPr>
      </w:pPr>
      <w:bookmarkStart w:id="85" w:name="_Toc178266400"/>
      <w:bookmarkStart w:id="86" w:name="_Toc178367406"/>
      <w:bookmarkStart w:id="87" w:name="_Toc178091210"/>
      <w:bookmarkStart w:id="88" w:name="_Toc178266383"/>
      <w:bookmarkStart w:id="89" w:name="_Toc178091388"/>
      <w:bookmarkStart w:id="90" w:name="_Toc178091195"/>
      <w:bookmarkStart w:id="91" w:name="_Toc178367498"/>
      <w:bookmarkStart w:id="92" w:name="_Toc178091251"/>
      <w:bookmarkStart w:id="93" w:name="_Toc19028"/>
      <w:bookmarkStart w:id="94" w:name="_Toc180225952"/>
      <w:bookmarkStart w:id="95" w:name="_Toc180225966"/>
      <w:bookmarkStart w:id="96" w:name="_Toc180227717"/>
      <w:bookmarkStart w:id="97" w:name="_Toc180651847"/>
      <w:bookmarkStart w:id="98" w:name="_Toc180654611"/>
      <w:r w:rsidRPr="00DC2CC9">
        <w:rPr>
          <w:rFonts w:ascii="Times New Roman" w:hint="eastAsia"/>
        </w:rPr>
        <w:t>进场与验收</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15A23D1B" w14:textId="77777777" w:rsidR="0014029F" w:rsidRPr="00DC2CC9" w:rsidRDefault="0014029F" w:rsidP="0014029F">
      <w:pPr>
        <w:pStyle w:val="affffffffe"/>
        <w:rPr>
          <w:rFonts w:ascii="Times New Roman"/>
        </w:rPr>
      </w:pPr>
      <w:bookmarkStart w:id="99" w:name="_Toc31470"/>
      <w:bookmarkStart w:id="100" w:name="_Toc24378"/>
      <w:r w:rsidRPr="00DC2CC9">
        <w:rPr>
          <w:rFonts w:ascii="Times New Roman" w:hint="eastAsia"/>
        </w:rPr>
        <w:t>支座产品进场应提供下列质量证明文件：</w:t>
      </w:r>
      <w:bookmarkEnd w:id="99"/>
      <w:bookmarkEnd w:id="100"/>
    </w:p>
    <w:p w14:paraId="0C0EE285" w14:textId="1E9E6B70" w:rsidR="0014029F" w:rsidRPr="00DC2CC9" w:rsidRDefault="0014029F" w:rsidP="0014029F">
      <w:pPr>
        <w:pStyle w:val="af5"/>
        <w:numPr>
          <w:ilvl w:val="0"/>
          <w:numId w:val="32"/>
        </w:numPr>
        <w:rPr>
          <w:rFonts w:ascii="Times New Roman"/>
        </w:rPr>
      </w:pPr>
      <w:r w:rsidRPr="00DC2CC9">
        <w:rPr>
          <w:rFonts w:ascii="Times New Roman" w:hint="eastAsia"/>
        </w:rPr>
        <w:t>原材料检测报告；</w:t>
      </w:r>
    </w:p>
    <w:p w14:paraId="3214B427" w14:textId="74742492" w:rsidR="0014029F" w:rsidRPr="00DC2CC9" w:rsidRDefault="0014029F" w:rsidP="0014029F">
      <w:pPr>
        <w:pStyle w:val="af5"/>
        <w:rPr>
          <w:rFonts w:ascii="Times New Roman"/>
        </w:rPr>
      </w:pPr>
      <w:r w:rsidRPr="00DC2CC9">
        <w:rPr>
          <w:rFonts w:ascii="Times New Roman" w:hint="eastAsia"/>
        </w:rPr>
        <w:t>连接件检测报告；</w:t>
      </w:r>
    </w:p>
    <w:p w14:paraId="5F4FF99C" w14:textId="583F8873" w:rsidR="0014029F" w:rsidRPr="00DC2CC9" w:rsidRDefault="0014029F" w:rsidP="0014029F">
      <w:pPr>
        <w:pStyle w:val="af5"/>
        <w:rPr>
          <w:rFonts w:ascii="Times New Roman"/>
        </w:rPr>
      </w:pPr>
      <w:r w:rsidRPr="00DC2CC9">
        <w:rPr>
          <w:rFonts w:ascii="Times New Roman" w:hint="eastAsia"/>
        </w:rPr>
        <w:t>产品合格证；</w:t>
      </w:r>
    </w:p>
    <w:p w14:paraId="1A27AD6A" w14:textId="7A9BAEBC" w:rsidR="0014029F" w:rsidRPr="00DC2CC9" w:rsidRDefault="0014029F" w:rsidP="0014029F">
      <w:pPr>
        <w:pStyle w:val="af5"/>
        <w:rPr>
          <w:rFonts w:ascii="Times New Roman"/>
        </w:rPr>
      </w:pPr>
      <w:r w:rsidRPr="00DC2CC9">
        <w:rPr>
          <w:rFonts w:ascii="Times New Roman" w:hint="eastAsia"/>
        </w:rPr>
        <w:t>出厂检验报告；</w:t>
      </w:r>
    </w:p>
    <w:p w14:paraId="7F3489E1" w14:textId="6793E553" w:rsidR="0014029F" w:rsidRPr="00DC2CC9" w:rsidRDefault="0014029F" w:rsidP="0014029F">
      <w:pPr>
        <w:pStyle w:val="af5"/>
        <w:rPr>
          <w:rFonts w:ascii="Times New Roman"/>
        </w:rPr>
      </w:pPr>
      <w:r w:rsidRPr="00DC2CC9">
        <w:rPr>
          <w:rFonts w:ascii="Times New Roman" w:hint="eastAsia"/>
        </w:rPr>
        <w:t>型式检验报告；</w:t>
      </w:r>
    </w:p>
    <w:p w14:paraId="1D9A7CCB" w14:textId="02E09545" w:rsidR="0014029F" w:rsidRPr="00DC2CC9" w:rsidRDefault="0014029F" w:rsidP="0014029F">
      <w:pPr>
        <w:pStyle w:val="af5"/>
        <w:rPr>
          <w:rFonts w:ascii="Times New Roman"/>
        </w:rPr>
      </w:pPr>
      <w:r w:rsidRPr="00DC2CC9">
        <w:rPr>
          <w:rFonts w:ascii="Times New Roman" w:hint="eastAsia"/>
        </w:rPr>
        <w:t>其他必要证明文件。</w:t>
      </w:r>
    </w:p>
    <w:p w14:paraId="4AB23B8E" w14:textId="77777777" w:rsidR="0014029F" w:rsidRPr="00DC2CC9" w:rsidRDefault="0014029F" w:rsidP="0014029F">
      <w:pPr>
        <w:pStyle w:val="affffffffe"/>
        <w:rPr>
          <w:rFonts w:ascii="Times New Roman"/>
        </w:rPr>
      </w:pPr>
      <w:bookmarkStart w:id="101" w:name="_Toc10069"/>
      <w:bookmarkStart w:id="102" w:name="_Toc21162"/>
      <w:r w:rsidRPr="00DC2CC9">
        <w:rPr>
          <w:rFonts w:ascii="Times New Roman" w:hint="eastAsia"/>
        </w:rPr>
        <w:t>支座及连接件进场后，应按种类、规格、批次分开贮存。</w:t>
      </w:r>
      <w:bookmarkEnd w:id="101"/>
      <w:bookmarkEnd w:id="102"/>
    </w:p>
    <w:p w14:paraId="32A39F30" w14:textId="77777777" w:rsidR="0014029F" w:rsidRPr="00DC2CC9" w:rsidRDefault="0014029F" w:rsidP="0014029F">
      <w:pPr>
        <w:pStyle w:val="affffffffe"/>
        <w:rPr>
          <w:rFonts w:ascii="Times New Roman"/>
        </w:rPr>
      </w:pPr>
      <w:r w:rsidRPr="00DC2CC9">
        <w:rPr>
          <w:rFonts w:ascii="Times New Roman" w:hint="eastAsia"/>
        </w:rPr>
        <w:lastRenderedPageBreak/>
        <w:t>支座及连接件在安装前应进行报验，并经监理（建设）单位核准。</w:t>
      </w:r>
    </w:p>
    <w:p w14:paraId="4A1EBDCB" w14:textId="77777777" w:rsidR="0014029F" w:rsidRPr="00DC2CC9" w:rsidRDefault="0014029F" w:rsidP="0014029F">
      <w:pPr>
        <w:pStyle w:val="affffffffe"/>
        <w:rPr>
          <w:rFonts w:ascii="Times New Roman"/>
        </w:rPr>
      </w:pPr>
      <w:bookmarkStart w:id="103" w:name="_Toc17086"/>
      <w:bookmarkStart w:id="104" w:name="_Toc25978"/>
      <w:r w:rsidRPr="00DC2CC9">
        <w:rPr>
          <w:rFonts w:ascii="Times New Roman" w:hint="eastAsia"/>
        </w:rPr>
        <w:t>支座的尺寸偏差、力学性能应符合设计要求。</w:t>
      </w:r>
      <w:bookmarkEnd w:id="103"/>
      <w:bookmarkEnd w:id="104"/>
    </w:p>
    <w:p w14:paraId="1863E7EB" w14:textId="77777777" w:rsidR="0014029F" w:rsidRPr="00DC2CC9" w:rsidRDefault="0014029F" w:rsidP="0014029F">
      <w:pPr>
        <w:pStyle w:val="affffffffe"/>
        <w:rPr>
          <w:rFonts w:ascii="Times New Roman"/>
        </w:rPr>
      </w:pPr>
      <w:r w:rsidRPr="00DC2CC9">
        <w:rPr>
          <w:rFonts w:ascii="Times New Roman" w:hint="eastAsia"/>
        </w:rPr>
        <w:t>支座的外观不应有严重缺陷，对于已经出现严重缺陷的支座，应按技术方案进行处理，并重新进行验收。</w:t>
      </w:r>
    </w:p>
    <w:p w14:paraId="4BC4EDAC" w14:textId="77777777" w:rsidR="0014029F" w:rsidRPr="00DC2CC9" w:rsidRDefault="0014029F" w:rsidP="0014029F">
      <w:pPr>
        <w:pStyle w:val="affffffffe"/>
        <w:rPr>
          <w:rFonts w:ascii="Times New Roman"/>
        </w:rPr>
      </w:pPr>
      <w:r w:rsidRPr="00DC2CC9">
        <w:rPr>
          <w:rFonts w:ascii="Times New Roman" w:hint="eastAsia"/>
        </w:rPr>
        <w:t>支座不应有影响结构性能和使用功能的尺寸偏差，对超过允许偏差且又影响性能和安装、使用功能的部位，应按技术方案进行处理，并重新进行验收。</w:t>
      </w:r>
    </w:p>
    <w:p w14:paraId="2700C9AA" w14:textId="2A9AE5F8" w:rsidR="002A1260" w:rsidRPr="00DC2CC9" w:rsidRDefault="0014029F" w:rsidP="00EB47A1">
      <w:pPr>
        <w:pStyle w:val="affffffffe"/>
        <w:rPr>
          <w:rFonts w:ascii="Times New Roman"/>
        </w:rPr>
      </w:pPr>
      <w:r w:rsidRPr="00DC2CC9">
        <w:rPr>
          <w:rFonts w:ascii="Times New Roman" w:hint="eastAsia"/>
        </w:rPr>
        <w:t>支座在运输、储存过程中如果遭遇可能影响支座性能的情况时，应再次进行检验。</w:t>
      </w:r>
    </w:p>
    <w:p w14:paraId="0490624E" w14:textId="77777777" w:rsidR="002D032D" w:rsidRPr="00DC2CC9" w:rsidRDefault="002D032D" w:rsidP="002D032D">
      <w:pPr>
        <w:pStyle w:val="affc"/>
        <w:spacing w:before="312" w:after="312"/>
        <w:rPr>
          <w:rFonts w:ascii="Times New Roman"/>
          <w:noProof/>
        </w:rPr>
      </w:pPr>
      <w:bookmarkStart w:id="105" w:name="_Toc180225953"/>
      <w:bookmarkStart w:id="106" w:name="_Toc180225967"/>
      <w:bookmarkStart w:id="107" w:name="_Toc180227718"/>
      <w:bookmarkStart w:id="108" w:name="_Toc180651848"/>
      <w:bookmarkStart w:id="109" w:name="_Toc180654612"/>
      <w:r w:rsidRPr="00DC2CC9">
        <w:rPr>
          <w:rFonts w:ascii="Times New Roman" w:hint="eastAsia"/>
          <w:noProof/>
        </w:rPr>
        <w:t>施工与安装</w:t>
      </w:r>
      <w:bookmarkEnd w:id="105"/>
      <w:bookmarkEnd w:id="106"/>
      <w:bookmarkEnd w:id="107"/>
      <w:bookmarkEnd w:id="108"/>
      <w:bookmarkEnd w:id="109"/>
    </w:p>
    <w:p w14:paraId="3217EAEE" w14:textId="77777777" w:rsidR="002D032D" w:rsidRPr="00DC2CC9" w:rsidRDefault="002D032D" w:rsidP="002D032D">
      <w:pPr>
        <w:pStyle w:val="affd"/>
        <w:spacing w:before="156" w:after="156"/>
        <w:rPr>
          <w:rFonts w:ascii="Times New Roman"/>
          <w:noProof/>
        </w:rPr>
      </w:pPr>
      <w:bookmarkStart w:id="110" w:name="_Toc180225954"/>
      <w:r w:rsidRPr="00DC2CC9">
        <w:rPr>
          <w:rFonts w:ascii="Times New Roman" w:hint="eastAsia"/>
          <w:noProof/>
        </w:rPr>
        <w:t>一般规定</w:t>
      </w:r>
      <w:bookmarkEnd w:id="110"/>
    </w:p>
    <w:p w14:paraId="5A9C86D3" w14:textId="77777777" w:rsidR="002D032D" w:rsidRPr="00DC2CC9" w:rsidRDefault="002D032D" w:rsidP="002D032D">
      <w:pPr>
        <w:pStyle w:val="afffffffff1"/>
        <w:rPr>
          <w:rFonts w:ascii="Times New Roman"/>
        </w:rPr>
      </w:pPr>
      <w:r w:rsidRPr="00DC2CC9">
        <w:rPr>
          <w:rFonts w:ascii="Times New Roman" w:hint="eastAsia"/>
        </w:rPr>
        <w:t>建筑隔震工程施工所采用的各类计量器具，均应经过校准或检定合格，且应在有效期内使用。</w:t>
      </w:r>
    </w:p>
    <w:p w14:paraId="41ED28BD" w14:textId="77777777" w:rsidR="002D032D" w:rsidRPr="00DC2CC9" w:rsidRDefault="002D032D" w:rsidP="002D032D">
      <w:pPr>
        <w:pStyle w:val="afffffffff1"/>
        <w:rPr>
          <w:rFonts w:ascii="Times New Roman"/>
        </w:rPr>
      </w:pPr>
      <w:r w:rsidRPr="00DC2CC9">
        <w:rPr>
          <w:rFonts w:ascii="Times New Roman" w:hint="eastAsia"/>
        </w:rPr>
        <w:t>支座安装应在上道工序交接检验合格后进行施工；支座安装工程施工经质量验收合格后，方可进行后续工程操作。相关施工要求应符合下列规定：</w:t>
      </w:r>
    </w:p>
    <w:p w14:paraId="4240BD91" w14:textId="15679180" w:rsidR="002D032D" w:rsidRPr="00DC2CC9" w:rsidRDefault="002D032D" w:rsidP="002D032D">
      <w:pPr>
        <w:pStyle w:val="af5"/>
        <w:numPr>
          <w:ilvl w:val="0"/>
          <w:numId w:val="33"/>
        </w:numPr>
        <w:rPr>
          <w:rFonts w:ascii="Times New Roman"/>
        </w:rPr>
      </w:pPr>
      <w:r w:rsidRPr="00DC2CC9">
        <w:rPr>
          <w:rFonts w:ascii="Times New Roman" w:hint="eastAsia"/>
        </w:rPr>
        <w:t>支座的支墩（柱）与承台或底板宜分开施工，承台或底板混凝土应振捣平整；</w:t>
      </w:r>
    </w:p>
    <w:p w14:paraId="48B53486" w14:textId="083A8709" w:rsidR="002D032D" w:rsidRPr="00DC2CC9" w:rsidRDefault="002D032D" w:rsidP="002D032D">
      <w:pPr>
        <w:pStyle w:val="af5"/>
        <w:rPr>
          <w:rFonts w:ascii="Times New Roman"/>
        </w:rPr>
      </w:pPr>
      <w:r w:rsidRPr="00DC2CC9">
        <w:rPr>
          <w:rFonts w:ascii="Times New Roman" w:hint="eastAsia"/>
        </w:rPr>
        <w:t>承台或底板混凝土初凝前，应进行测量定位，绑扎支柱（墩）的钢筋及周边钢筋，应预留预埋锚筋或锚杆、套筒的位置；</w:t>
      </w:r>
    </w:p>
    <w:p w14:paraId="6AACD224" w14:textId="10E07DF5" w:rsidR="002D032D" w:rsidRPr="00DC2CC9" w:rsidRDefault="002D032D" w:rsidP="002D032D">
      <w:pPr>
        <w:pStyle w:val="af5"/>
        <w:rPr>
          <w:rFonts w:ascii="Times New Roman"/>
        </w:rPr>
      </w:pPr>
      <w:r w:rsidRPr="00DC2CC9">
        <w:rPr>
          <w:rFonts w:ascii="Times New Roman" w:hint="eastAsia"/>
        </w:rPr>
        <w:t>下支墩（柱）上的连接板在安装过程中，应对其轴线、标高和水平度进行精准测量定位，并应用连接螺栓对螺栓孔进行临时旋拧封闭；</w:t>
      </w:r>
    </w:p>
    <w:p w14:paraId="0306AAA4" w14:textId="746053D8" w:rsidR="002D032D" w:rsidRPr="00DC2CC9" w:rsidRDefault="002D032D" w:rsidP="002D032D">
      <w:pPr>
        <w:pStyle w:val="af5"/>
        <w:rPr>
          <w:rFonts w:ascii="Times New Roman"/>
        </w:rPr>
      </w:pPr>
      <w:r w:rsidRPr="00DC2CC9">
        <w:rPr>
          <w:rFonts w:ascii="Times New Roman" w:hint="eastAsia"/>
        </w:rPr>
        <w:t>安装下支墩（柱）侧模，应用水准仪测定模板高度，并在模板上弹出水平线；</w:t>
      </w:r>
    </w:p>
    <w:p w14:paraId="31CCF6D9" w14:textId="3A5DB9F9" w:rsidR="002D032D" w:rsidRPr="00DC2CC9" w:rsidRDefault="002D032D" w:rsidP="002D032D">
      <w:pPr>
        <w:pStyle w:val="af5"/>
        <w:rPr>
          <w:rFonts w:ascii="Times New Roman"/>
        </w:rPr>
      </w:pPr>
      <w:r w:rsidRPr="00DC2CC9">
        <w:rPr>
          <w:rFonts w:ascii="Times New Roman" w:hint="eastAsia"/>
        </w:rPr>
        <w:t>浇筑下支墩（柱）混凝土时，应减少对预埋件的影响；混凝土浇筑完毕后，应对支座中心的平面位置和标高进行复测并记录，若有移动，应进行校正；</w:t>
      </w:r>
    </w:p>
    <w:p w14:paraId="1F26AF30" w14:textId="25050C6D" w:rsidR="002D032D" w:rsidRPr="00DC2CC9" w:rsidRDefault="002D032D" w:rsidP="002D032D">
      <w:pPr>
        <w:pStyle w:val="af5"/>
        <w:rPr>
          <w:rFonts w:ascii="Times New Roman"/>
        </w:rPr>
      </w:pPr>
      <w:r w:rsidRPr="00DC2CC9">
        <w:rPr>
          <w:rFonts w:ascii="Times New Roman" w:hint="eastAsia"/>
        </w:rPr>
        <w:t>模板拆除后，应采用同强度的水泥砂浆进行找平，找平后应对砂浆进行标高复核；</w:t>
      </w:r>
    </w:p>
    <w:p w14:paraId="2A1B9271" w14:textId="25C9BCCE" w:rsidR="002D032D" w:rsidRPr="00DC2CC9" w:rsidRDefault="002D032D" w:rsidP="002D032D">
      <w:pPr>
        <w:pStyle w:val="af5"/>
        <w:rPr>
          <w:rFonts w:ascii="Times New Roman"/>
        </w:rPr>
      </w:pPr>
      <w:r w:rsidRPr="00DC2CC9">
        <w:rPr>
          <w:rFonts w:ascii="Times New Roman" w:hint="eastAsia"/>
        </w:rPr>
        <w:t>安装支座时，应用全站仪或水准仪复测支座标高及平面位置，并拧紧螺栓；</w:t>
      </w:r>
    </w:p>
    <w:p w14:paraId="7ECDAFE5" w14:textId="41F59D65" w:rsidR="002D032D" w:rsidRPr="00DC2CC9" w:rsidRDefault="002D032D" w:rsidP="002D032D">
      <w:pPr>
        <w:pStyle w:val="af5"/>
        <w:rPr>
          <w:rFonts w:ascii="Times New Roman"/>
        </w:rPr>
      </w:pPr>
      <w:r w:rsidRPr="00DC2CC9">
        <w:rPr>
          <w:rFonts w:ascii="Times New Roman" w:hint="eastAsia"/>
        </w:rPr>
        <w:t>上支墩（柱）连接件在安装过程中，应对其轴线、标高和水平度进行精准的测量定位。</w:t>
      </w:r>
    </w:p>
    <w:p w14:paraId="6BBA2A65" w14:textId="2CE4DA3E" w:rsidR="00E62979" w:rsidRPr="00DC2CC9" w:rsidRDefault="00E62979" w:rsidP="002D032D">
      <w:pPr>
        <w:pStyle w:val="afffffffff1"/>
        <w:rPr>
          <w:rFonts w:ascii="Times New Roman"/>
        </w:rPr>
      </w:pPr>
      <w:r w:rsidRPr="00DC2CC9">
        <w:rPr>
          <w:rFonts w:ascii="Times New Roman" w:hint="eastAsia"/>
        </w:rPr>
        <w:t>隔震建筑整体构造示意图如图</w:t>
      </w:r>
      <w:r w:rsidR="003F2204">
        <w:rPr>
          <w:rFonts w:ascii="Times New Roman" w:hint="eastAsia"/>
        </w:rPr>
        <w:t>3</w:t>
      </w:r>
      <w:r w:rsidRPr="00DC2CC9">
        <w:rPr>
          <w:rFonts w:ascii="Times New Roman" w:hint="eastAsia"/>
        </w:rPr>
        <w:t>所示。</w:t>
      </w:r>
    </w:p>
    <w:p w14:paraId="33E1E2E5" w14:textId="125B5E31" w:rsidR="002D032D" w:rsidRPr="00DC2CC9" w:rsidRDefault="002D032D" w:rsidP="002D032D">
      <w:pPr>
        <w:pStyle w:val="afffffffff1"/>
        <w:rPr>
          <w:rFonts w:ascii="Times New Roman"/>
        </w:rPr>
      </w:pPr>
      <w:r w:rsidRPr="00DC2CC9">
        <w:rPr>
          <w:rFonts w:ascii="Times New Roman" w:hint="eastAsia"/>
        </w:rPr>
        <w:t>隔震</w:t>
      </w:r>
      <w:r w:rsidR="00BA337A" w:rsidRPr="00DC2CC9">
        <w:rPr>
          <w:rFonts w:ascii="Times New Roman" w:hint="eastAsia"/>
        </w:rPr>
        <w:t>建筑</w:t>
      </w:r>
      <w:r w:rsidRPr="00DC2CC9">
        <w:rPr>
          <w:rFonts w:ascii="Times New Roman" w:hint="eastAsia"/>
        </w:rPr>
        <w:t>工程施工流程可参照</w:t>
      </w:r>
      <w:r w:rsidR="00C14E7E" w:rsidRPr="00DC2CC9">
        <w:rPr>
          <w:rFonts w:ascii="Times New Roman" w:hint="eastAsia"/>
        </w:rPr>
        <w:t>图</w:t>
      </w:r>
      <w:r w:rsidR="003F2204">
        <w:rPr>
          <w:rFonts w:ascii="Times New Roman" w:hint="eastAsia"/>
        </w:rPr>
        <w:t>4</w:t>
      </w:r>
      <w:r w:rsidRPr="00DC2CC9">
        <w:rPr>
          <w:rFonts w:ascii="Times New Roman" w:hint="eastAsia"/>
        </w:rPr>
        <w:t>进行</w:t>
      </w:r>
      <w:r w:rsidR="00E62979" w:rsidRPr="00DC2CC9">
        <w:rPr>
          <w:rFonts w:ascii="Times New Roman" w:hint="eastAsia"/>
        </w:rPr>
        <w:t>。</w:t>
      </w:r>
    </w:p>
    <w:p w14:paraId="0FA25188" w14:textId="5AD77393" w:rsidR="007578DD" w:rsidRPr="00DC2CC9" w:rsidRDefault="007578DD" w:rsidP="003B7EE2">
      <w:pPr>
        <w:pStyle w:val="afffffffff1"/>
        <w:numPr>
          <w:ilvl w:val="0"/>
          <w:numId w:val="0"/>
        </w:numPr>
        <w:jc w:val="center"/>
        <w:rPr>
          <w:rFonts w:ascii="Times New Roman"/>
        </w:rPr>
      </w:pPr>
      <w:r w:rsidRPr="00DC2CC9">
        <w:rPr>
          <w:rFonts w:ascii="Times New Roman"/>
          <w:noProof/>
        </w:rPr>
        <w:lastRenderedPageBreak/>
        <w:drawing>
          <wp:inline distT="0" distB="0" distL="0" distR="0" wp14:anchorId="1679AA0B" wp14:editId="6C1A76D7">
            <wp:extent cx="4867867" cy="5217493"/>
            <wp:effectExtent l="0" t="0" r="9525" b="2540"/>
            <wp:docPr id="6585033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503386" name=""/>
                    <pic:cNvPicPr/>
                  </pic:nvPicPr>
                  <pic:blipFill>
                    <a:blip r:embed="rId20"/>
                    <a:stretch>
                      <a:fillRect/>
                    </a:stretch>
                  </pic:blipFill>
                  <pic:spPr>
                    <a:xfrm>
                      <a:off x="0" y="0"/>
                      <a:ext cx="4872574" cy="5222538"/>
                    </a:xfrm>
                    <a:prstGeom prst="rect">
                      <a:avLst/>
                    </a:prstGeom>
                  </pic:spPr>
                </pic:pic>
              </a:graphicData>
            </a:graphic>
          </wp:inline>
        </w:drawing>
      </w:r>
    </w:p>
    <w:p w14:paraId="3D07B07F" w14:textId="77777777" w:rsidR="007578DD" w:rsidRPr="00DC2CC9" w:rsidRDefault="007578DD" w:rsidP="007578DD">
      <w:pPr>
        <w:rPr>
          <w:rFonts w:ascii="Times New Roman" w:hAnsi="Times New Roman"/>
        </w:rPr>
      </w:pPr>
      <w:r w:rsidRPr="00DC2CC9">
        <w:rPr>
          <w:rFonts w:ascii="Times New Roman" w:hAnsi="Times New Roman" w:hint="eastAsia"/>
        </w:rPr>
        <w:t>1</w:t>
      </w:r>
      <w:r w:rsidRPr="00DC2CC9">
        <w:rPr>
          <w:rFonts w:ascii="Times New Roman" w:hAnsi="Times New Roman" w:hint="eastAsia"/>
        </w:rPr>
        <w:t>——上部结构；</w:t>
      </w:r>
    </w:p>
    <w:p w14:paraId="6B0AD665" w14:textId="77777777" w:rsidR="007578DD" w:rsidRPr="00DC2CC9" w:rsidRDefault="007578DD" w:rsidP="007578DD">
      <w:pPr>
        <w:rPr>
          <w:rFonts w:ascii="Times New Roman" w:hAnsi="Times New Roman"/>
        </w:rPr>
      </w:pPr>
      <w:r w:rsidRPr="00DC2CC9">
        <w:rPr>
          <w:rFonts w:ascii="Times New Roman" w:hAnsi="Times New Roman" w:hint="eastAsia"/>
        </w:rPr>
        <w:t>2</w:t>
      </w:r>
      <w:r w:rsidRPr="00DC2CC9">
        <w:rPr>
          <w:rFonts w:ascii="Times New Roman" w:hAnsi="Times New Roman" w:hint="eastAsia"/>
        </w:rPr>
        <w:t>——阻尼器；</w:t>
      </w:r>
    </w:p>
    <w:p w14:paraId="19CFCDDD" w14:textId="77777777" w:rsidR="007578DD" w:rsidRPr="00DC2CC9" w:rsidRDefault="007578DD" w:rsidP="007578DD">
      <w:pPr>
        <w:rPr>
          <w:rFonts w:ascii="Times New Roman" w:hAnsi="Times New Roman"/>
        </w:rPr>
      </w:pPr>
      <w:r w:rsidRPr="00DC2CC9">
        <w:rPr>
          <w:rFonts w:ascii="Times New Roman" w:hAnsi="Times New Roman" w:hint="eastAsia"/>
        </w:rPr>
        <w:t>3</w:t>
      </w:r>
      <w:r w:rsidRPr="00DC2CC9">
        <w:rPr>
          <w:rFonts w:ascii="Times New Roman" w:hAnsi="Times New Roman" w:hint="eastAsia"/>
        </w:rPr>
        <w:t>——支座；</w:t>
      </w:r>
    </w:p>
    <w:p w14:paraId="541963C9" w14:textId="77777777" w:rsidR="007578DD" w:rsidRPr="00DC2CC9" w:rsidRDefault="007578DD" w:rsidP="007578DD">
      <w:pPr>
        <w:rPr>
          <w:rFonts w:ascii="Times New Roman" w:hAnsi="Times New Roman"/>
        </w:rPr>
      </w:pPr>
      <w:r w:rsidRPr="00DC2CC9">
        <w:rPr>
          <w:rFonts w:ascii="Times New Roman" w:hAnsi="Times New Roman" w:hint="eastAsia"/>
        </w:rPr>
        <w:t>4</w:t>
      </w:r>
      <w:r w:rsidRPr="00DC2CC9">
        <w:rPr>
          <w:rFonts w:ascii="Times New Roman" w:hAnsi="Times New Roman" w:hint="eastAsia"/>
        </w:rPr>
        <w:t>——下部结构；</w:t>
      </w:r>
    </w:p>
    <w:p w14:paraId="6D160150" w14:textId="77777777" w:rsidR="007578DD" w:rsidRPr="00DC2CC9" w:rsidRDefault="007578DD" w:rsidP="007578DD">
      <w:pPr>
        <w:rPr>
          <w:rFonts w:ascii="Times New Roman" w:hAnsi="Times New Roman"/>
        </w:rPr>
      </w:pPr>
      <w:r w:rsidRPr="00DC2CC9">
        <w:rPr>
          <w:rFonts w:ascii="Times New Roman" w:hAnsi="Times New Roman" w:hint="eastAsia"/>
        </w:rPr>
        <w:t>5</w:t>
      </w:r>
      <w:r w:rsidRPr="00DC2CC9">
        <w:rPr>
          <w:rFonts w:ascii="Times New Roman" w:hAnsi="Times New Roman" w:hint="eastAsia"/>
        </w:rPr>
        <w:t>——基础；</w:t>
      </w:r>
    </w:p>
    <w:p w14:paraId="4820F228" w14:textId="16E64F70" w:rsidR="007578DD" w:rsidRPr="00DC2CC9" w:rsidRDefault="007578DD" w:rsidP="00BA0690">
      <w:pPr>
        <w:rPr>
          <w:rFonts w:ascii="Times New Roman" w:hAnsi="Times New Roman"/>
        </w:rPr>
      </w:pPr>
      <w:r w:rsidRPr="00DC2CC9">
        <w:rPr>
          <w:rFonts w:ascii="Times New Roman" w:hAnsi="Times New Roman" w:hint="eastAsia"/>
        </w:rPr>
        <w:t>6</w:t>
      </w:r>
      <w:r w:rsidRPr="00DC2CC9">
        <w:rPr>
          <w:rFonts w:ascii="Times New Roman" w:hAnsi="Times New Roman" w:hint="eastAsia"/>
        </w:rPr>
        <w:t>——隔震层。</w:t>
      </w:r>
    </w:p>
    <w:p w14:paraId="0CADE9BC" w14:textId="697037F0" w:rsidR="00FE0668" w:rsidRPr="00DC2CC9" w:rsidRDefault="00FE0668" w:rsidP="00BA0690">
      <w:pPr>
        <w:pStyle w:val="afd"/>
        <w:spacing w:before="156" w:after="156"/>
        <w:rPr>
          <w:rFonts w:ascii="Times New Roman"/>
        </w:rPr>
      </w:pPr>
      <w:r w:rsidRPr="00DC2CC9">
        <w:rPr>
          <w:rFonts w:ascii="Times New Roman" w:hint="eastAsia"/>
        </w:rPr>
        <w:t>隔震建筑整体构造示意图</w:t>
      </w:r>
    </w:p>
    <w:p w14:paraId="7BCA4B05" w14:textId="77777777" w:rsidR="002D032D" w:rsidRPr="00DC2CC9" w:rsidRDefault="002D032D" w:rsidP="00620FA0">
      <w:pPr>
        <w:pStyle w:val="affffb"/>
        <w:ind w:firstLineChars="0" w:firstLine="0"/>
        <w:jc w:val="center"/>
        <w:rPr>
          <w:rFonts w:ascii="Times New Roman"/>
        </w:rPr>
      </w:pPr>
      <w:r w:rsidRPr="00DC2CC9">
        <w:rPr>
          <w:rFonts w:ascii="Times New Roman"/>
        </w:rPr>
        <w:lastRenderedPageBreak/>
        <w:drawing>
          <wp:inline distT="0" distB="0" distL="114300" distR="114300" wp14:anchorId="4A3DB69F" wp14:editId="512A34B7">
            <wp:extent cx="4940210" cy="7936992"/>
            <wp:effectExtent l="0" t="0" r="0" b="6985"/>
            <wp:docPr id="11"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图示&#10;&#10;描述已自动生成"/>
                    <pic:cNvPicPr>
                      <a:picLocks noChangeAspect="1"/>
                    </pic:cNvPicPr>
                  </pic:nvPicPr>
                  <pic:blipFill>
                    <a:blip r:embed="rId21"/>
                    <a:stretch>
                      <a:fillRect/>
                    </a:stretch>
                  </pic:blipFill>
                  <pic:spPr>
                    <a:xfrm>
                      <a:off x="0" y="0"/>
                      <a:ext cx="5006424" cy="8043373"/>
                    </a:xfrm>
                    <a:prstGeom prst="rect">
                      <a:avLst/>
                    </a:prstGeom>
                    <a:noFill/>
                    <a:ln>
                      <a:noFill/>
                    </a:ln>
                  </pic:spPr>
                </pic:pic>
              </a:graphicData>
            </a:graphic>
          </wp:inline>
        </w:drawing>
      </w:r>
    </w:p>
    <w:p w14:paraId="1AAD0B3C" w14:textId="77777777" w:rsidR="002D032D" w:rsidRPr="00DC2CC9" w:rsidRDefault="002D032D" w:rsidP="00C54471">
      <w:pPr>
        <w:pStyle w:val="afd"/>
        <w:spacing w:before="156" w:after="156"/>
        <w:rPr>
          <w:rFonts w:ascii="Times New Roman"/>
        </w:rPr>
      </w:pPr>
      <w:r w:rsidRPr="00DC2CC9">
        <w:rPr>
          <w:rFonts w:ascii="Times New Roman" w:hint="eastAsia"/>
        </w:rPr>
        <w:t>建筑隔震工程施工流程图</w:t>
      </w:r>
    </w:p>
    <w:p w14:paraId="7B94BF8E" w14:textId="77777777" w:rsidR="002D032D" w:rsidRPr="00DC2CC9" w:rsidRDefault="002D032D" w:rsidP="002D032D">
      <w:pPr>
        <w:pStyle w:val="affd"/>
        <w:spacing w:before="156" w:after="156"/>
        <w:rPr>
          <w:rFonts w:ascii="Times New Roman"/>
        </w:rPr>
      </w:pPr>
      <w:bookmarkStart w:id="111" w:name="_Toc180225955"/>
      <w:r w:rsidRPr="00DC2CC9">
        <w:rPr>
          <w:rFonts w:ascii="Times New Roman" w:hint="eastAsia"/>
        </w:rPr>
        <w:lastRenderedPageBreak/>
        <w:t>支座</w:t>
      </w:r>
      <w:bookmarkEnd w:id="111"/>
    </w:p>
    <w:p w14:paraId="1485A4B9" w14:textId="77777777" w:rsidR="002D032D" w:rsidRPr="00DC2CC9" w:rsidRDefault="002D032D" w:rsidP="00C54471">
      <w:pPr>
        <w:pStyle w:val="afffffffff1"/>
        <w:rPr>
          <w:rFonts w:ascii="Times New Roman"/>
        </w:rPr>
      </w:pPr>
      <w:r w:rsidRPr="00DC2CC9">
        <w:rPr>
          <w:rFonts w:ascii="Times New Roman" w:hint="eastAsia"/>
        </w:rPr>
        <w:t>支座下支墩（柱）施工应符合下列规定：</w:t>
      </w:r>
    </w:p>
    <w:p w14:paraId="660D03AE" w14:textId="115D4797" w:rsidR="002D032D" w:rsidRPr="00DC2CC9" w:rsidRDefault="002D032D" w:rsidP="00E42F23">
      <w:pPr>
        <w:pStyle w:val="af5"/>
        <w:numPr>
          <w:ilvl w:val="0"/>
          <w:numId w:val="34"/>
        </w:numPr>
        <w:rPr>
          <w:rFonts w:ascii="Times New Roman"/>
        </w:rPr>
      </w:pPr>
      <w:r w:rsidRPr="00DC2CC9">
        <w:rPr>
          <w:rFonts w:ascii="Times New Roman" w:hint="eastAsia"/>
        </w:rPr>
        <w:t>支座下支墩（柱）钢筋安装、绑扎时，应确定支座下预埋套筒或锚筋的位置，不应相互阻挡；</w:t>
      </w:r>
    </w:p>
    <w:p w14:paraId="1C530613" w14:textId="0CDC2E32" w:rsidR="002D032D" w:rsidRPr="00DC2CC9" w:rsidRDefault="002D032D" w:rsidP="00E42F23">
      <w:pPr>
        <w:pStyle w:val="af5"/>
        <w:rPr>
          <w:rFonts w:ascii="Times New Roman"/>
        </w:rPr>
      </w:pPr>
      <w:r w:rsidRPr="00DC2CC9">
        <w:rPr>
          <w:rFonts w:ascii="Times New Roman" w:hint="eastAsia"/>
        </w:rPr>
        <w:t>支座下连接板预埋就位后，应校核其标高、水平位置和水平度，并应符合设计要求；</w:t>
      </w:r>
    </w:p>
    <w:p w14:paraId="381CD4E7" w14:textId="71581C61" w:rsidR="002D032D" w:rsidRPr="00DC2CC9" w:rsidRDefault="002D032D" w:rsidP="00E42F23">
      <w:pPr>
        <w:pStyle w:val="af5"/>
        <w:rPr>
          <w:rFonts w:ascii="Times New Roman"/>
        </w:rPr>
      </w:pPr>
      <w:r w:rsidRPr="00DC2CC9">
        <w:rPr>
          <w:rFonts w:ascii="Times New Roman"/>
        </w:rPr>
        <w:t>支座下支墩</w:t>
      </w:r>
      <w:r w:rsidRPr="00DC2CC9">
        <w:rPr>
          <w:rFonts w:ascii="Times New Roman" w:hint="eastAsia"/>
        </w:rPr>
        <w:t>（</w:t>
      </w:r>
      <w:r w:rsidRPr="00DC2CC9">
        <w:rPr>
          <w:rFonts w:ascii="Times New Roman"/>
        </w:rPr>
        <w:t>柱</w:t>
      </w:r>
      <w:r w:rsidRPr="00DC2CC9">
        <w:rPr>
          <w:rFonts w:ascii="Times New Roman" w:hint="eastAsia"/>
        </w:rPr>
        <w:t>）</w:t>
      </w:r>
      <w:r w:rsidRPr="00DC2CC9">
        <w:rPr>
          <w:rFonts w:ascii="Times New Roman"/>
        </w:rPr>
        <w:t>的混凝土宜分二次浇筑，浇筑时应有排气措施。第一次宜浇筑至支座下连接板以下，第二次浇筑前应复核支座下连接板的标高</w:t>
      </w:r>
      <w:r w:rsidRPr="00DC2CC9">
        <w:rPr>
          <w:rFonts w:ascii="Times New Roman" w:hint="eastAsia"/>
        </w:rPr>
        <w:t>、</w:t>
      </w:r>
      <w:r w:rsidRPr="00DC2CC9">
        <w:rPr>
          <w:rFonts w:ascii="Times New Roman"/>
        </w:rPr>
        <w:t>平面位置和水平度。二次浇筑的混凝土宜采用高流动性</w:t>
      </w:r>
      <w:r w:rsidRPr="00DC2CC9">
        <w:rPr>
          <w:rFonts w:ascii="Times New Roman" w:hint="eastAsia"/>
        </w:rPr>
        <w:t>且</w:t>
      </w:r>
      <w:r w:rsidRPr="00DC2CC9">
        <w:rPr>
          <w:rFonts w:ascii="Times New Roman"/>
        </w:rPr>
        <w:t>收缩小的混凝土、微膨胀或无收缩高强砂浆，其强度等级宜比原设计强度等级提高一级。混凝士不应有空鼓</w:t>
      </w:r>
      <w:r w:rsidRPr="00DC2CC9">
        <w:rPr>
          <w:rFonts w:ascii="Times New Roman" w:hint="eastAsia"/>
        </w:rPr>
        <w:t>；</w:t>
      </w:r>
    </w:p>
    <w:p w14:paraId="45207F21" w14:textId="1E09BEAE" w:rsidR="002D032D" w:rsidRPr="00DC2CC9" w:rsidRDefault="002D032D" w:rsidP="00E42F23">
      <w:pPr>
        <w:pStyle w:val="af5"/>
        <w:rPr>
          <w:rFonts w:ascii="Times New Roman"/>
        </w:rPr>
      </w:pPr>
      <w:r w:rsidRPr="00DC2CC9">
        <w:rPr>
          <w:rFonts w:ascii="Times New Roman" w:hint="eastAsia"/>
        </w:rPr>
        <w:t>浇筑混凝土前，应对螺栓孔采取临时封闭措施，不应灌入混凝土，混凝土浇筑完成后应及时将下连接板表面清洁干净；</w:t>
      </w:r>
    </w:p>
    <w:p w14:paraId="0AB9ED55" w14:textId="167FFCA3" w:rsidR="002D032D" w:rsidRPr="00DC2CC9" w:rsidRDefault="002D032D" w:rsidP="00E42F23">
      <w:pPr>
        <w:pStyle w:val="af5"/>
        <w:rPr>
          <w:rFonts w:ascii="Times New Roman"/>
        </w:rPr>
      </w:pPr>
      <w:r w:rsidRPr="00DC2CC9">
        <w:rPr>
          <w:rFonts w:ascii="Times New Roman" w:hint="eastAsia"/>
        </w:rPr>
        <w:t>混凝土初凝前，应校核下连接板的平面位置、高程和水平度，发现问题应立即采取处理措施以满足要求，并应保留相关记录。</w:t>
      </w:r>
    </w:p>
    <w:p w14:paraId="19D28F47" w14:textId="77777777" w:rsidR="002D032D" w:rsidRPr="00DC2CC9" w:rsidRDefault="002D032D" w:rsidP="00C54471">
      <w:pPr>
        <w:pStyle w:val="afffffffff1"/>
        <w:rPr>
          <w:rFonts w:ascii="Times New Roman"/>
        </w:rPr>
      </w:pPr>
      <w:bookmarkStart w:id="112" w:name="_Toc3586"/>
      <w:bookmarkStart w:id="113" w:name="_Toc20128"/>
      <w:r w:rsidRPr="00DC2CC9">
        <w:rPr>
          <w:rFonts w:ascii="Times New Roman" w:hint="eastAsia"/>
        </w:rPr>
        <w:t>支座的安装宜由经过专门培训的人员实施，且应有监理进行旁站。支座安装应符合下列规定：</w:t>
      </w:r>
      <w:bookmarkEnd w:id="112"/>
      <w:bookmarkEnd w:id="113"/>
    </w:p>
    <w:p w14:paraId="3DCF4F84" w14:textId="7C7D556B" w:rsidR="002D032D" w:rsidRPr="00DC2CC9" w:rsidRDefault="002D032D" w:rsidP="003D5EAD">
      <w:pPr>
        <w:pStyle w:val="af5"/>
        <w:numPr>
          <w:ilvl w:val="0"/>
          <w:numId w:val="35"/>
        </w:numPr>
        <w:rPr>
          <w:rFonts w:ascii="Times New Roman"/>
        </w:rPr>
      </w:pPr>
      <w:r w:rsidRPr="00DC2CC9">
        <w:rPr>
          <w:rFonts w:ascii="Times New Roman" w:hint="eastAsia"/>
        </w:rPr>
        <w:t>下支墩（柱）混凝土强度达到设计强度的</w:t>
      </w:r>
      <w:r w:rsidRPr="00DC2CC9">
        <w:rPr>
          <w:rFonts w:ascii="Times New Roman" w:hint="eastAsia"/>
        </w:rPr>
        <w:t>75%</w:t>
      </w:r>
      <w:r w:rsidRPr="00DC2CC9">
        <w:rPr>
          <w:rFonts w:ascii="Times New Roman" w:hint="eastAsia"/>
        </w:rPr>
        <w:t>以上时方可进行支座安装；</w:t>
      </w:r>
    </w:p>
    <w:p w14:paraId="552A41AF" w14:textId="317CAC3A" w:rsidR="002D032D" w:rsidRPr="00DC2CC9" w:rsidRDefault="002D032D" w:rsidP="003D5EAD">
      <w:pPr>
        <w:pStyle w:val="af5"/>
        <w:rPr>
          <w:rFonts w:ascii="Times New Roman"/>
        </w:rPr>
      </w:pPr>
      <w:r w:rsidRPr="00DC2CC9">
        <w:rPr>
          <w:rFonts w:ascii="Times New Roman" w:hint="eastAsia"/>
        </w:rPr>
        <w:t>支座安装前应复核下连接板的平面位置、标高和水平度，并保留相关记录；</w:t>
      </w:r>
    </w:p>
    <w:p w14:paraId="5126C265" w14:textId="5928C08F" w:rsidR="002D032D" w:rsidRPr="00DC2CC9" w:rsidRDefault="002D032D" w:rsidP="003D5EAD">
      <w:pPr>
        <w:pStyle w:val="af5"/>
        <w:rPr>
          <w:rFonts w:ascii="Times New Roman"/>
        </w:rPr>
      </w:pPr>
      <w:r w:rsidRPr="00DC2CC9">
        <w:rPr>
          <w:rFonts w:ascii="Times New Roman" w:hint="eastAsia"/>
        </w:rPr>
        <w:t>支座吊装时，应按照厂家提供的吊点安装吊具，并注意保护支座，吊运过程中，支座应水平；</w:t>
      </w:r>
    </w:p>
    <w:p w14:paraId="56FC8524" w14:textId="3D405085" w:rsidR="002D032D" w:rsidRPr="00DC2CC9" w:rsidRDefault="002D032D" w:rsidP="003D5EAD">
      <w:pPr>
        <w:pStyle w:val="af5"/>
        <w:rPr>
          <w:rFonts w:ascii="Times New Roman"/>
        </w:rPr>
      </w:pPr>
      <w:r w:rsidRPr="00DC2CC9">
        <w:rPr>
          <w:rFonts w:ascii="Times New Roman" w:hint="eastAsia"/>
        </w:rPr>
        <w:t>支座安装过程中不得产生水平位移；</w:t>
      </w:r>
    </w:p>
    <w:p w14:paraId="308C97DC" w14:textId="09999D69" w:rsidR="002D032D" w:rsidRPr="00DC2CC9" w:rsidRDefault="002D032D" w:rsidP="003D5EAD">
      <w:pPr>
        <w:pStyle w:val="af5"/>
        <w:rPr>
          <w:rFonts w:ascii="Times New Roman"/>
        </w:rPr>
      </w:pPr>
      <w:r w:rsidRPr="00DC2CC9">
        <w:rPr>
          <w:rFonts w:ascii="Times New Roman" w:hint="eastAsia"/>
        </w:rPr>
        <w:t>支座就位后，应复核其平面位置、顶面高程和顶面水平度；</w:t>
      </w:r>
    </w:p>
    <w:p w14:paraId="1CAAAE56" w14:textId="2E76BCF8" w:rsidR="002D032D" w:rsidRPr="00DC2CC9" w:rsidRDefault="002D032D" w:rsidP="003D5EAD">
      <w:pPr>
        <w:pStyle w:val="af5"/>
        <w:rPr>
          <w:rFonts w:ascii="Times New Roman"/>
        </w:rPr>
      </w:pPr>
      <w:r w:rsidRPr="00DC2CC9">
        <w:rPr>
          <w:rFonts w:ascii="Times New Roman" w:hint="eastAsia"/>
        </w:rPr>
        <w:t>螺栓应对称拧紧；</w:t>
      </w:r>
    </w:p>
    <w:p w14:paraId="5AEEE3CB" w14:textId="68345CEC" w:rsidR="002D032D" w:rsidRPr="00DC2CC9" w:rsidRDefault="002D032D" w:rsidP="003D5EAD">
      <w:pPr>
        <w:pStyle w:val="af5"/>
        <w:rPr>
          <w:rFonts w:ascii="Times New Roman"/>
        </w:rPr>
      </w:pPr>
      <w:r w:rsidRPr="00DC2CC9">
        <w:rPr>
          <w:rFonts w:ascii="Times New Roman" w:hint="eastAsia"/>
        </w:rPr>
        <w:t>支座安装后，支座与下支墩（柱）顶面的连接板应密贴；</w:t>
      </w:r>
    </w:p>
    <w:p w14:paraId="19A5D8B0" w14:textId="546745EC" w:rsidR="002D032D" w:rsidRPr="00DC2CC9" w:rsidRDefault="002D032D" w:rsidP="003D5EAD">
      <w:pPr>
        <w:pStyle w:val="af5"/>
        <w:rPr>
          <w:rFonts w:ascii="Times New Roman"/>
        </w:rPr>
      </w:pPr>
      <w:r w:rsidRPr="00DC2CC9">
        <w:rPr>
          <w:rFonts w:ascii="Times New Roman" w:hint="eastAsia"/>
        </w:rPr>
        <w:t>当同一支墩（柱）下采用多个支座组合时，必须采用同一厂家产品；</w:t>
      </w:r>
    </w:p>
    <w:p w14:paraId="0A7687AC" w14:textId="47A32B18" w:rsidR="002D032D" w:rsidRPr="00DC2CC9" w:rsidRDefault="002D032D" w:rsidP="003D5EAD">
      <w:pPr>
        <w:pStyle w:val="af5"/>
        <w:rPr>
          <w:rFonts w:ascii="Times New Roman"/>
        </w:rPr>
      </w:pPr>
      <w:r w:rsidRPr="00DC2CC9">
        <w:rPr>
          <w:rFonts w:ascii="Times New Roman" w:hint="eastAsia"/>
        </w:rPr>
        <w:t>支座临时连接装置需在主体封顶后拆除；</w:t>
      </w:r>
    </w:p>
    <w:p w14:paraId="003F79A6" w14:textId="1363E23F" w:rsidR="002D032D" w:rsidRPr="00DC2CC9" w:rsidRDefault="002D032D" w:rsidP="003D5EAD">
      <w:pPr>
        <w:pStyle w:val="af5"/>
        <w:rPr>
          <w:rFonts w:ascii="Times New Roman"/>
        </w:rPr>
      </w:pPr>
      <w:r w:rsidRPr="00DC2CC9">
        <w:rPr>
          <w:rFonts w:ascii="Times New Roman" w:hint="eastAsia"/>
        </w:rPr>
        <w:t>支座安装完成后，其允许偏差应符合下表的规定。</w:t>
      </w:r>
    </w:p>
    <w:p w14:paraId="1E2A9692" w14:textId="77777777" w:rsidR="002D032D" w:rsidRPr="00DC2CC9" w:rsidRDefault="002D032D" w:rsidP="002D032D">
      <w:pPr>
        <w:pStyle w:val="aff2"/>
        <w:spacing w:before="156" w:after="156"/>
        <w:rPr>
          <w:rFonts w:ascii="Times New Roman"/>
        </w:rPr>
      </w:pPr>
      <w:r w:rsidRPr="00DC2CC9">
        <w:rPr>
          <w:rFonts w:ascii="Times New Roman" w:hint="eastAsia"/>
        </w:rPr>
        <w:t>支座安装位置的允许偏差和检测方法</w:t>
      </w:r>
    </w:p>
    <w:tbl>
      <w:tblPr>
        <w:tblStyle w:val="afffffffffc"/>
        <w:tblW w:w="0" w:type="auto"/>
        <w:jc w:val="center"/>
        <w:tblLook w:val="04A0" w:firstRow="1" w:lastRow="0" w:firstColumn="1" w:lastColumn="0" w:noHBand="0" w:noVBand="1"/>
      </w:tblPr>
      <w:tblGrid>
        <w:gridCol w:w="1611"/>
        <w:gridCol w:w="2495"/>
        <w:gridCol w:w="2268"/>
        <w:gridCol w:w="2517"/>
      </w:tblGrid>
      <w:tr w:rsidR="002D032D" w:rsidRPr="00DC2CC9" w14:paraId="1380A8E2" w14:textId="77777777" w:rsidTr="00B70770">
        <w:trPr>
          <w:trHeight w:hRule="exact" w:val="607"/>
          <w:jc w:val="center"/>
        </w:trPr>
        <w:tc>
          <w:tcPr>
            <w:tcW w:w="4106" w:type="dxa"/>
            <w:gridSpan w:val="2"/>
            <w:vAlign w:val="center"/>
          </w:tcPr>
          <w:p w14:paraId="62DF1A88"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检查项目</w:t>
            </w:r>
          </w:p>
        </w:tc>
        <w:tc>
          <w:tcPr>
            <w:tcW w:w="2268" w:type="dxa"/>
            <w:vAlign w:val="center"/>
          </w:tcPr>
          <w:p w14:paraId="2409C42D"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允许偏差</w:t>
            </w:r>
          </w:p>
        </w:tc>
        <w:tc>
          <w:tcPr>
            <w:tcW w:w="2517" w:type="dxa"/>
            <w:vAlign w:val="center"/>
          </w:tcPr>
          <w:p w14:paraId="25B7B3FD"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检测方法</w:t>
            </w:r>
          </w:p>
        </w:tc>
      </w:tr>
      <w:tr w:rsidR="002D032D" w:rsidRPr="00DC2CC9" w14:paraId="6210D2A9" w14:textId="77777777" w:rsidTr="00B70770">
        <w:trPr>
          <w:trHeight w:hRule="exact" w:val="607"/>
          <w:jc w:val="center"/>
        </w:trPr>
        <w:tc>
          <w:tcPr>
            <w:tcW w:w="4106" w:type="dxa"/>
            <w:gridSpan w:val="2"/>
            <w:vAlign w:val="center"/>
          </w:tcPr>
          <w:p w14:paraId="49DBB3E0" w14:textId="77777777" w:rsidR="002D032D" w:rsidRPr="00DC2CC9" w:rsidRDefault="002D032D" w:rsidP="00B70770">
            <w:pPr>
              <w:pStyle w:val="affffb"/>
              <w:ind w:firstLineChars="0" w:firstLine="0"/>
              <w:jc w:val="center"/>
              <w:rPr>
                <w:rFonts w:ascii="Times New Roman"/>
              </w:rPr>
            </w:pPr>
            <w:r w:rsidRPr="00DC2CC9">
              <w:rPr>
                <w:rFonts w:ascii="Times New Roman"/>
              </w:rPr>
              <w:t>支座中心标高和多支座顶面高差</w:t>
            </w:r>
          </w:p>
        </w:tc>
        <w:tc>
          <w:tcPr>
            <w:tcW w:w="2268" w:type="dxa"/>
            <w:vAlign w:val="center"/>
          </w:tcPr>
          <w:p w14:paraId="0C90870C"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w:t>
            </w:r>
            <w:r w:rsidRPr="00DC2CC9">
              <w:rPr>
                <w:rFonts w:ascii="Times New Roman" w:hint="eastAsia"/>
              </w:rPr>
              <w:t>5mm</w:t>
            </w:r>
          </w:p>
        </w:tc>
        <w:tc>
          <w:tcPr>
            <w:tcW w:w="2517" w:type="dxa"/>
            <w:vAlign w:val="center"/>
          </w:tcPr>
          <w:p w14:paraId="1F9995B4"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水准仪、直尺</w:t>
            </w:r>
          </w:p>
        </w:tc>
      </w:tr>
      <w:tr w:rsidR="002D032D" w:rsidRPr="00DC2CC9" w14:paraId="15D68A8F" w14:textId="77777777" w:rsidTr="00B70770">
        <w:trPr>
          <w:trHeight w:hRule="exact" w:val="607"/>
          <w:jc w:val="center"/>
        </w:trPr>
        <w:tc>
          <w:tcPr>
            <w:tcW w:w="4106" w:type="dxa"/>
            <w:gridSpan w:val="2"/>
            <w:vAlign w:val="center"/>
          </w:tcPr>
          <w:p w14:paraId="3A6E870B" w14:textId="77777777" w:rsidR="002D032D" w:rsidRPr="00DC2CC9" w:rsidRDefault="002D032D" w:rsidP="00B70770">
            <w:pPr>
              <w:pStyle w:val="affffb"/>
              <w:ind w:firstLineChars="0" w:firstLine="0"/>
              <w:jc w:val="center"/>
              <w:rPr>
                <w:rFonts w:ascii="Times New Roman"/>
              </w:rPr>
            </w:pPr>
            <w:r w:rsidRPr="00DC2CC9">
              <w:rPr>
                <w:rFonts w:ascii="Times New Roman"/>
              </w:rPr>
              <w:t>支座中心平面位置</w:t>
            </w:r>
          </w:p>
        </w:tc>
        <w:tc>
          <w:tcPr>
            <w:tcW w:w="2268" w:type="dxa"/>
            <w:vAlign w:val="center"/>
          </w:tcPr>
          <w:p w14:paraId="3D3F8F2E"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w:t>
            </w:r>
            <w:r w:rsidRPr="00DC2CC9">
              <w:rPr>
                <w:rFonts w:ascii="Times New Roman" w:hint="eastAsia"/>
              </w:rPr>
              <w:t>5mm</w:t>
            </w:r>
          </w:p>
        </w:tc>
        <w:tc>
          <w:tcPr>
            <w:tcW w:w="2517" w:type="dxa"/>
            <w:vAlign w:val="center"/>
          </w:tcPr>
          <w:p w14:paraId="4A64BDEA"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全站仪、直尺</w:t>
            </w:r>
          </w:p>
        </w:tc>
      </w:tr>
      <w:tr w:rsidR="002D032D" w:rsidRPr="00DC2CC9" w14:paraId="2E8BC880" w14:textId="77777777" w:rsidTr="00B70770">
        <w:trPr>
          <w:trHeight w:hRule="exact" w:val="607"/>
          <w:jc w:val="center"/>
        </w:trPr>
        <w:tc>
          <w:tcPr>
            <w:tcW w:w="1611" w:type="dxa"/>
            <w:vMerge w:val="restart"/>
            <w:vAlign w:val="center"/>
          </w:tcPr>
          <w:p w14:paraId="628E4D8A"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水平度</w:t>
            </w:r>
          </w:p>
        </w:tc>
        <w:tc>
          <w:tcPr>
            <w:tcW w:w="2495" w:type="dxa"/>
            <w:vAlign w:val="center"/>
          </w:tcPr>
          <w:p w14:paraId="08418CD0" w14:textId="77777777" w:rsidR="002D032D" w:rsidRPr="00DC2CC9" w:rsidRDefault="002D032D" w:rsidP="00B70770">
            <w:pPr>
              <w:pStyle w:val="affffb"/>
              <w:ind w:firstLineChars="0" w:firstLine="0"/>
              <w:jc w:val="center"/>
              <w:rPr>
                <w:rFonts w:ascii="Times New Roman"/>
              </w:rPr>
            </w:pPr>
            <w:r w:rsidRPr="00DC2CC9">
              <w:rPr>
                <w:rFonts w:ascii="Times New Roman"/>
              </w:rPr>
              <w:t>支墩（柱）顶面</w:t>
            </w:r>
          </w:p>
        </w:tc>
        <w:tc>
          <w:tcPr>
            <w:tcW w:w="2268" w:type="dxa"/>
            <w:vAlign w:val="center"/>
          </w:tcPr>
          <w:p w14:paraId="55C3CDB2"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w:t>
            </w:r>
            <w:r w:rsidRPr="00DC2CC9">
              <w:rPr>
                <w:rFonts w:ascii="Times New Roman" w:hint="eastAsia"/>
              </w:rPr>
              <w:t>3</w:t>
            </w:r>
            <w:r w:rsidRPr="00DC2CC9">
              <w:rPr>
                <w:rFonts w:ascii="Times New Roman" w:hint="eastAsia"/>
              </w:rPr>
              <w:t>‰</w:t>
            </w:r>
          </w:p>
        </w:tc>
        <w:tc>
          <w:tcPr>
            <w:tcW w:w="2517" w:type="dxa"/>
            <w:vAlign w:val="center"/>
          </w:tcPr>
          <w:p w14:paraId="53B7001A"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水准仪、塞尺</w:t>
            </w:r>
          </w:p>
        </w:tc>
      </w:tr>
      <w:tr w:rsidR="002D032D" w:rsidRPr="00DC2CC9" w14:paraId="6AF5CD14" w14:textId="77777777" w:rsidTr="00B70770">
        <w:trPr>
          <w:trHeight w:hRule="exact" w:val="607"/>
          <w:jc w:val="center"/>
        </w:trPr>
        <w:tc>
          <w:tcPr>
            <w:tcW w:w="1611" w:type="dxa"/>
            <w:vMerge/>
            <w:vAlign w:val="center"/>
          </w:tcPr>
          <w:p w14:paraId="4397B549" w14:textId="77777777" w:rsidR="002D032D" w:rsidRPr="00DC2CC9" w:rsidRDefault="002D032D" w:rsidP="00B70770">
            <w:pPr>
              <w:pStyle w:val="affffb"/>
              <w:ind w:firstLine="420"/>
              <w:jc w:val="center"/>
              <w:rPr>
                <w:rFonts w:ascii="Times New Roman"/>
              </w:rPr>
            </w:pPr>
          </w:p>
        </w:tc>
        <w:tc>
          <w:tcPr>
            <w:tcW w:w="2495" w:type="dxa"/>
            <w:vAlign w:val="center"/>
          </w:tcPr>
          <w:p w14:paraId="2E1282BE" w14:textId="77777777" w:rsidR="002D032D" w:rsidRPr="00DC2CC9" w:rsidRDefault="002D032D" w:rsidP="00B70770">
            <w:pPr>
              <w:pStyle w:val="affffb"/>
              <w:ind w:firstLineChars="0" w:firstLine="0"/>
              <w:jc w:val="center"/>
              <w:rPr>
                <w:rFonts w:ascii="Times New Roman"/>
              </w:rPr>
            </w:pPr>
            <w:r w:rsidRPr="00DC2CC9">
              <w:rPr>
                <w:rFonts w:ascii="Times New Roman"/>
              </w:rPr>
              <w:t>支座（柱）顶面</w:t>
            </w:r>
          </w:p>
        </w:tc>
        <w:tc>
          <w:tcPr>
            <w:tcW w:w="2268" w:type="dxa"/>
            <w:vAlign w:val="center"/>
          </w:tcPr>
          <w:p w14:paraId="172E88F8"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w:t>
            </w:r>
            <w:r w:rsidRPr="00DC2CC9">
              <w:rPr>
                <w:rFonts w:ascii="Times New Roman" w:hint="eastAsia"/>
              </w:rPr>
              <w:t>8</w:t>
            </w:r>
            <w:r w:rsidRPr="00DC2CC9">
              <w:rPr>
                <w:rFonts w:ascii="Times New Roman" w:hint="eastAsia"/>
              </w:rPr>
              <w:t>‰</w:t>
            </w:r>
          </w:p>
        </w:tc>
        <w:tc>
          <w:tcPr>
            <w:tcW w:w="2517" w:type="dxa"/>
            <w:vAlign w:val="center"/>
          </w:tcPr>
          <w:p w14:paraId="6F4952AE" w14:textId="77777777" w:rsidR="002D032D" w:rsidRPr="00DC2CC9" w:rsidRDefault="002D032D" w:rsidP="00B70770">
            <w:pPr>
              <w:pStyle w:val="affffb"/>
              <w:ind w:firstLineChars="0" w:firstLine="0"/>
              <w:jc w:val="center"/>
              <w:rPr>
                <w:rFonts w:ascii="Times New Roman"/>
              </w:rPr>
            </w:pPr>
            <w:r w:rsidRPr="00DC2CC9">
              <w:rPr>
                <w:rFonts w:ascii="Times New Roman" w:hint="eastAsia"/>
              </w:rPr>
              <w:t>水准仪、塞尺</w:t>
            </w:r>
          </w:p>
        </w:tc>
      </w:tr>
    </w:tbl>
    <w:p w14:paraId="72C95972" w14:textId="77777777" w:rsidR="002D032D" w:rsidRPr="00DC2CC9" w:rsidRDefault="002D032D" w:rsidP="00C54471">
      <w:pPr>
        <w:pStyle w:val="afffffffff1"/>
        <w:rPr>
          <w:rFonts w:ascii="Times New Roman"/>
        </w:rPr>
      </w:pPr>
      <w:bookmarkStart w:id="114" w:name="_Toc979"/>
      <w:bookmarkStart w:id="115" w:name="_Toc30219"/>
      <w:r w:rsidRPr="00DC2CC9">
        <w:rPr>
          <w:rFonts w:ascii="Times New Roman" w:hint="eastAsia"/>
        </w:rPr>
        <w:t>支座相邻上部结构施工应符合下列规定：</w:t>
      </w:r>
      <w:bookmarkEnd w:id="114"/>
      <w:bookmarkEnd w:id="115"/>
    </w:p>
    <w:p w14:paraId="31795AE2" w14:textId="3383ED1B" w:rsidR="002D032D" w:rsidRPr="00DC2CC9" w:rsidRDefault="002D032D" w:rsidP="00BF2A37">
      <w:pPr>
        <w:pStyle w:val="af5"/>
        <w:numPr>
          <w:ilvl w:val="0"/>
          <w:numId w:val="36"/>
        </w:numPr>
        <w:rPr>
          <w:rFonts w:ascii="Times New Roman"/>
        </w:rPr>
      </w:pPr>
      <w:bookmarkStart w:id="116" w:name="_Toc28647"/>
      <w:r w:rsidRPr="00DC2CC9">
        <w:rPr>
          <w:rFonts w:ascii="Times New Roman" w:hint="eastAsia"/>
        </w:rPr>
        <w:t>支座安装验收合格后，方可进行后续工程施工；</w:t>
      </w:r>
      <w:bookmarkEnd w:id="116"/>
    </w:p>
    <w:p w14:paraId="17A05C4E" w14:textId="6F0B69A6" w:rsidR="002D032D" w:rsidRPr="00DC2CC9" w:rsidRDefault="002D032D" w:rsidP="00BF2A37">
      <w:pPr>
        <w:pStyle w:val="af5"/>
        <w:rPr>
          <w:rFonts w:ascii="Times New Roman"/>
        </w:rPr>
      </w:pPr>
      <w:r w:rsidRPr="00DC2CC9">
        <w:rPr>
          <w:rFonts w:ascii="Times New Roman" w:hint="eastAsia"/>
        </w:rPr>
        <w:t>支座上连接板安装后，将锚定螺栓就位，应校核其位置、高程等，并应保留记录；</w:t>
      </w:r>
    </w:p>
    <w:p w14:paraId="7E01EBC2" w14:textId="3A8479AA" w:rsidR="002D032D" w:rsidRPr="00DC2CC9" w:rsidRDefault="002D032D" w:rsidP="00BF2A37">
      <w:pPr>
        <w:pStyle w:val="af5"/>
        <w:rPr>
          <w:rFonts w:ascii="Times New Roman"/>
        </w:rPr>
      </w:pPr>
      <w:r w:rsidRPr="00DC2CC9">
        <w:rPr>
          <w:rFonts w:ascii="Times New Roman" w:hint="eastAsia"/>
        </w:rPr>
        <w:t>支座安装后应立即采取保护措施，后续施工过程中不得污染、损伤；</w:t>
      </w:r>
    </w:p>
    <w:p w14:paraId="2ABE5FFF" w14:textId="4A4A7451" w:rsidR="002D032D" w:rsidRPr="00DC2CC9" w:rsidRDefault="002D032D" w:rsidP="00BF2A37">
      <w:pPr>
        <w:pStyle w:val="af5"/>
        <w:rPr>
          <w:rFonts w:ascii="Times New Roman"/>
        </w:rPr>
      </w:pPr>
      <w:r w:rsidRPr="00DC2CC9">
        <w:rPr>
          <w:rFonts w:ascii="Times New Roman" w:hint="eastAsia"/>
        </w:rPr>
        <w:t>支座上部相邻结构的模板和混凝土工程施工时，应对隔震层采取临时固定措施，不应发生水平位移；</w:t>
      </w:r>
    </w:p>
    <w:p w14:paraId="6475907A" w14:textId="47F446B5" w:rsidR="002D032D" w:rsidRPr="00DC2CC9" w:rsidRDefault="002D032D" w:rsidP="00BF2A37">
      <w:pPr>
        <w:pStyle w:val="af5"/>
        <w:rPr>
          <w:rFonts w:ascii="Times New Roman"/>
        </w:rPr>
      </w:pPr>
      <w:r w:rsidRPr="00DC2CC9">
        <w:rPr>
          <w:rFonts w:ascii="Times New Roman" w:hint="eastAsia"/>
        </w:rPr>
        <w:t>对单层面积较大或长度超过</w:t>
      </w:r>
      <w:r w:rsidRPr="00DC2CC9">
        <w:rPr>
          <w:rFonts w:ascii="Times New Roman" w:hint="eastAsia"/>
        </w:rPr>
        <w:t>100 m</w:t>
      </w:r>
      <w:r w:rsidRPr="00DC2CC9">
        <w:rPr>
          <w:rFonts w:ascii="Times New Roman" w:hint="eastAsia"/>
        </w:rPr>
        <w:t>的支座相邻上部混凝土结构、大跨度的钢结构或设计有特殊要求的，应制定专项施工方案，不应产生过大的温度变化和混凝土干缩变形；</w:t>
      </w:r>
    </w:p>
    <w:p w14:paraId="0D34862B" w14:textId="581489F0" w:rsidR="002D032D" w:rsidRPr="00DC2CC9" w:rsidRDefault="002D032D" w:rsidP="00BF2A37">
      <w:pPr>
        <w:pStyle w:val="af5"/>
        <w:rPr>
          <w:rFonts w:ascii="Times New Roman"/>
        </w:rPr>
      </w:pPr>
      <w:r w:rsidRPr="00DC2CC9">
        <w:rPr>
          <w:rFonts w:ascii="Times New Roman" w:hint="eastAsia"/>
        </w:rPr>
        <w:lastRenderedPageBreak/>
        <w:t>对支座相邻上部结构为钢结构和钢骨结构时，应对全部支座采取临时固定措施；</w:t>
      </w:r>
    </w:p>
    <w:p w14:paraId="330BDE0A" w14:textId="1D85FCFD" w:rsidR="002D032D" w:rsidRPr="00DC2CC9" w:rsidRDefault="002D032D" w:rsidP="00BF2A37">
      <w:pPr>
        <w:pStyle w:val="af5"/>
        <w:rPr>
          <w:rFonts w:ascii="Times New Roman"/>
        </w:rPr>
      </w:pPr>
      <w:r w:rsidRPr="00DC2CC9">
        <w:rPr>
          <w:rFonts w:ascii="Times New Roman" w:hint="eastAsia"/>
        </w:rPr>
        <w:t>在支座相邻上部结构施工过程中，应定期观测支座竖向变形，并应保留相应记录。</w:t>
      </w:r>
    </w:p>
    <w:p w14:paraId="1D74A0B2" w14:textId="084B31FE" w:rsidR="002D032D" w:rsidRPr="00DC2CC9" w:rsidRDefault="002D032D" w:rsidP="00C54471">
      <w:pPr>
        <w:pStyle w:val="afffffffff1"/>
        <w:rPr>
          <w:rFonts w:ascii="Times New Roman"/>
          <w:b/>
          <w:bCs/>
        </w:rPr>
      </w:pPr>
      <w:bookmarkStart w:id="117" w:name="_Toc18905"/>
      <w:bookmarkStart w:id="118" w:name="_Toc16498"/>
      <w:r w:rsidRPr="00DC2CC9">
        <w:rPr>
          <w:rFonts w:ascii="Times New Roman" w:hint="eastAsia"/>
        </w:rPr>
        <w:t>当支座需要进行防火保护时，应按照设计文件进行</w:t>
      </w:r>
      <w:bookmarkEnd w:id="117"/>
      <w:bookmarkEnd w:id="118"/>
      <w:r w:rsidRPr="00DC2CC9">
        <w:rPr>
          <w:rFonts w:ascii="Times New Roman" w:hint="eastAsia"/>
        </w:rPr>
        <w:t>。</w:t>
      </w:r>
    </w:p>
    <w:p w14:paraId="0AC29A95" w14:textId="767302D7" w:rsidR="000415DF" w:rsidRPr="00DC2CC9" w:rsidRDefault="00C76C72" w:rsidP="009D2F0E">
      <w:pPr>
        <w:pStyle w:val="afffffffff1"/>
        <w:rPr>
          <w:rFonts w:ascii="Times New Roman"/>
          <w:b/>
          <w:bCs/>
        </w:rPr>
      </w:pPr>
      <w:r w:rsidRPr="00DC2CC9">
        <w:rPr>
          <w:rFonts w:ascii="Times New Roman" w:hint="eastAsia"/>
        </w:rPr>
        <w:t>支座安装示意图</w:t>
      </w:r>
      <w:r w:rsidR="001D3EA0" w:rsidRPr="00DC2CC9">
        <w:rPr>
          <w:rFonts w:ascii="Times New Roman" w:hint="eastAsia"/>
        </w:rPr>
        <w:t>如图</w:t>
      </w:r>
      <w:r w:rsidR="00444525">
        <w:rPr>
          <w:rFonts w:ascii="Times New Roman" w:hint="eastAsia"/>
        </w:rPr>
        <w:t>5</w:t>
      </w:r>
      <w:r w:rsidRPr="00DC2CC9">
        <w:rPr>
          <w:rFonts w:ascii="Times New Roman" w:hint="eastAsia"/>
        </w:rPr>
        <w:t>所示</w:t>
      </w:r>
      <w:r w:rsidR="004F4796" w:rsidRPr="00DC2CC9">
        <w:rPr>
          <w:rFonts w:ascii="Times New Roman" w:hint="eastAsia"/>
        </w:rPr>
        <w:t>。</w:t>
      </w:r>
    </w:p>
    <w:p w14:paraId="1F712BC1" w14:textId="71689D97" w:rsidR="000415DF" w:rsidRPr="00DC2CC9" w:rsidRDefault="000415DF" w:rsidP="000415DF">
      <w:pPr>
        <w:pStyle w:val="affffb"/>
        <w:ind w:firstLineChars="0" w:firstLine="0"/>
        <w:jc w:val="center"/>
        <w:rPr>
          <w:rFonts w:ascii="Times New Roman"/>
        </w:rPr>
      </w:pPr>
      <w:r w:rsidRPr="00DC2CC9">
        <w:rPr>
          <w:rFonts w:ascii="Times New Roman"/>
        </w:rPr>
        <w:drawing>
          <wp:inline distT="0" distB="0" distL="0" distR="0" wp14:anchorId="557299B9" wp14:editId="423DE0A2">
            <wp:extent cx="4352311" cy="2971800"/>
            <wp:effectExtent l="0" t="0" r="0" b="0"/>
            <wp:docPr id="5117360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36083" name=""/>
                    <pic:cNvPicPr/>
                  </pic:nvPicPr>
                  <pic:blipFill>
                    <a:blip r:embed="rId22"/>
                    <a:stretch>
                      <a:fillRect/>
                    </a:stretch>
                  </pic:blipFill>
                  <pic:spPr>
                    <a:xfrm>
                      <a:off x="0" y="0"/>
                      <a:ext cx="4363132" cy="2979189"/>
                    </a:xfrm>
                    <a:prstGeom prst="rect">
                      <a:avLst/>
                    </a:prstGeom>
                  </pic:spPr>
                </pic:pic>
              </a:graphicData>
            </a:graphic>
          </wp:inline>
        </w:drawing>
      </w:r>
    </w:p>
    <w:p w14:paraId="2BE1BE8E" w14:textId="77777777" w:rsidR="000415DF" w:rsidRPr="00DC2CC9" w:rsidRDefault="000415DF" w:rsidP="000415DF">
      <w:pPr>
        <w:rPr>
          <w:rFonts w:ascii="Times New Roman" w:hAnsi="Times New Roman"/>
        </w:rPr>
      </w:pPr>
      <w:r w:rsidRPr="00DC2CC9">
        <w:rPr>
          <w:rFonts w:ascii="Times New Roman" w:hAnsi="Times New Roman" w:hint="eastAsia"/>
        </w:rPr>
        <w:t>说明：</w:t>
      </w:r>
    </w:p>
    <w:p w14:paraId="0E581226" w14:textId="77777777" w:rsidR="000415DF" w:rsidRPr="00DC2CC9" w:rsidRDefault="000415DF" w:rsidP="000415DF">
      <w:pPr>
        <w:rPr>
          <w:rFonts w:ascii="Times New Roman" w:hAnsi="Times New Roman"/>
        </w:rPr>
      </w:pPr>
      <w:r w:rsidRPr="00DC2CC9">
        <w:rPr>
          <w:rFonts w:ascii="Times New Roman" w:hAnsi="Times New Roman" w:hint="eastAsia"/>
        </w:rPr>
        <w:t>1</w:t>
      </w:r>
      <w:r w:rsidRPr="00DC2CC9">
        <w:rPr>
          <w:rFonts w:ascii="Times New Roman" w:hAnsi="Times New Roman" w:hint="eastAsia"/>
        </w:rPr>
        <w:t>——上支墩；</w:t>
      </w:r>
    </w:p>
    <w:p w14:paraId="63BCF6FF" w14:textId="77777777" w:rsidR="000415DF" w:rsidRPr="00DC2CC9" w:rsidRDefault="000415DF" w:rsidP="000415DF">
      <w:pPr>
        <w:rPr>
          <w:rFonts w:ascii="Times New Roman" w:hAnsi="Times New Roman"/>
        </w:rPr>
      </w:pPr>
      <w:r w:rsidRPr="00DC2CC9">
        <w:rPr>
          <w:rFonts w:ascii="Times New Roman" w:hAnsi="Times New Roman" w:hint="eastAsia"/>
        </w:rPr>
        <w:t>2</w:t>
      </w:r>
      <w:r w:rsidRPr="00DC2CC9">
        <w:rPr>
          <w:rFonts w:ascii="Times New Roman" w:hAnsi="Times New Roman" w:hint="eastAsia"/>
        </w:rPr>
        <w:t>——上预埋板；</w:t>
      </w:r>
    </w:p>
    <w:p w14:paraId="635C8181" w14:textId="77777777" w:rsidR="000415DF" w:rsidRPr="00DC2CC9" w:rsidRDefault="000415DF" w:rsidP="000415DF">
      <w:pPr>
        <w:rPr>
          <w:rFonts w:ascii="Times New Roman" w:hAnsi="Times New Roman"/>
        </w:rPr>
      </w:pPr>
      <w:r w:rsidRPr="00DC2CC9">
        <w:rPr>
          <w:rFonts w:ascii="Times New Roman" w:hAnsi="Times New Roman" w:hint="eastAsia"/>
        </w:rPr>
        <w:t>3</w:t>
      </w:r>
      <w:r w:rsidRPr="00DC2CC9">
        <w:rPr>
          <w:rFonts w:ascii="Times New Roman" w:hAnsi="Times New Roman" w:hint="eastAsia"/>
        </w:rPr>
        <w:t>——上座板；</w:t>
      </w:r>
    </w:p>
    <w:p w14:paraId="6EE12F24" w14:textId="77777777" w:rsidR="000415DF" w:rsidRPr="00DC2CC9" w:rsidRDefault="000415DF" w:rsidP="000415DF">
      <w:pPr>
        <w:rPr>
          <w:rFonts w:ascii="Times New Roman" w:hAnsi="Times New Roman"/>
        </w:rPr>
      </w:pPr>
      <w:r w:rsidRPr="00DC2CC9">
        <w:rPr>
          <w:rFonts w:ascii="Times New Roman" w:hAnsi="Times New Roman" w:hint="eastAsia"/>
        </w:rPr>
        <w:t>4</w:t>
      </w:r>
      <w:r w:rsidRPr="00DC2CC9">
        <w:rPr>
          <w:rFonts w:ascii="Times New Roman" w:hAnsi="Times New Roman" w:hint="eastAsia"/>
        </w:rPr>
        <w:t>——球冠体；</w:t>
      </w:r>
    </w:p>
    <w:p w14:paraId="4FDA6CE4" w14:textId="77777777" w:rsidR="000415DF" w:rsidRPr="00DC2CC9" w:rsidRDefault="000415DF" w:rsidP="000415DF">
      <w:pPr>
        <w:rPr>
          <w:rFonts w:ascii="Times New Roman" w:hAnsi="Times New Roman"/>
        </w:rPr>
      </w:pPr>
      <w:r w:rsidRPr="00DC2CC9">
        <w:rPr>
          <w:rFonts w:ascii="Times New Roman" w:hAnsi="Times New Roman" w:hint="eastAsia"/>
        </w:rPr>
        <w:t>5</w:t>
      </w:r>
      <w:r w:rsidRPr="00DC2CC9">
        <w:rPr>
          <w:rFonts w:ascii="Times New Roman" w:hAnsi="Times New Roman" w:hint="eastAsia"/>
        </w:rPr>
        <w:t>——下座板；</w:t>
      </w:r>
    </w:p>
    <w:p w14:paraId="09904790" w14:textId="77777777" w:rsidR="000415DF" w:rsidRPr="00DC2CC9" w:rsidRDefault="000415DF" w:rsidP="000415DF">
      <w:pPr>
        <w:rPr>
          <w:rFonts w:ascii="Times New Roman" w:hAnsi="Times New Roman"/>
        </w:rPr>
      </w:pPr>
      <w:r w:rsidRPr="00DC2CC9">
        <w:rPr>
          <w:rFonts w:ascii="Times New Roman" w:hAnsi="Times New Roman" w:hint="eastAsia"/>
        </w:rPr>
        <w:t>6</w:t>
      </w:r>
      <w:r w:rsidRPr="00DC2CC9">
        <w:rPr>
          <w:rFonts w:ascii="Times New Roman" w:hAnsi="Times New Roman" w:hint="eastAsia"/>
        </w:rPr>
        <w:t>——下预埋板；</w:t>
      </w:r>
    </w:p>
    <w:p w14:paraId="7F1625E4" w14:textId="77777777" w:rsidR="000415DF" w:rsidRPr="00DC2CC9" w:rsidRDefault="000415DF" w:rsidP="000415DF">
      <w:pPr>
        <w:rPr>
          <w:rFonts w:ascii="Times New Roman" w:hAnsi="Times New Roman"/>
        </w:rPr>
      </w:pPr>
      <w:r w:rsidRPr="00DC2CC9">
        <w:rPr>
          <w:rFonts w:ascii="Times New Roman" w:hAnsi="Times New Roman" w:hint="eastAsia"/>
        </w:rPr>
        <w:t>7</w:t>
      </w:r>
      <w:r w:rsidRPr="00DC2CC9">
        <w:rPr>
          <w:rFonts w:ascii="Times New Roman" w:hAnsi="Times New Roman" w:hint="eastAsia"/>
        </w:rPr>
        <w:t>——垫石；</w:t>
      </w:r>
    </w:p>
    <w:p w14:paraId="0FB8A014" w14:textId="77777777" w:rsidR="000415DF" w:rsidRPr="00DC2CC9" w:rsidRDefault="000415DF" w:rsidP="000415DF">
      <w:pPr>
        <w:rPr>
          <w:rFonts w:ascii="Times New Roman" w:hAnsi="Times New Roman"/>
        </w:rPr>
      </w:pPr>
      <w:r w:rsidRPr="00DC2CC9">
        <w:rPr>
          <w:rFonts w:ascii="Times New Roman" w:hAnsi="Times New Roman" w:hint="eastAsia"/>
        </w:rPr>
        <w:t>8</w:t>
      </w:r>
      <w:r w:rsidRPr="00DC2CC9">
        <w:rPr>
          <w:rFonts w:ascii="Times New Roman" w:hAnsi="Times New Roman" w:hint="eastAsia"/>
        </w:rPr>
        <w:t>——下支墩；</w:t>
      </w:r>
    </w:p>
    <w:p w14:paraId="38E1E9AC" w14:textId="77777777" w:rsidR="000415DF" w:rsidRPr="00DC2CC9" w:rsidRDefault="000415DF" w:rsidP="000415DF">
      <w:pPr>
        <w:rPr>
          <w:rFonts w:ascii="Times New Roman" w:hAnsi="Times New Roman"/>
        </w:rPr>
      </w:pPr>
      <w:r w:rsidRPr="00DC2CC9">
        <w:rPr>
          <w:rFonts w:ascii="Times New Roman" w:hAnsi="Times New Roman" w:hint="eastAsia"/>
        </w:rPr>
        <w:t>9</w:t>
      </w:r>
      <w:r w:rsidRPr="00DC2CC9">
        <w:rPr>
          <w:rFonts w:ascii="Times New Roman" w:hAnsi="Times New Roman" w:hint="eastAsia"/>
        </w:rPr>
        <w:t>——套筒；</w:t>
      </w:r>
    </w:p>
    <w:p w14:paraId="4DCE2D1F" w14:textId="77777777" w:rsidR="000415DF" w:rsidRPr="00DC2CC9" w:rsidRDefault="000415DF" w:rsidP="000415DF">
      <w:pPr>
        <w:rPr>
          <w:rFonts w:ascii="Times New Roman" w:hAnsi="Times New Roman"/>
        </w:rPr>
      </w:pPr>
      <w:r w:rsidRPr="00DC2CC9">
        <w:rPr>
          <w:rFonts w:ascii="Times New Roman" w:hAnsi="Times New Roman" w:hint="eastAsia"/>
        </w:rPr>
        <w:t>10</w:t>
      </w:r>
      <w:r w:rsidRPr="00DC2CC9">
        <w:rPr>
          <w:rFonts w:ascii="Times New Roman" w:hAnsi="Times New Roman" w:hint="eastAsia"/>
        </w:rPr>
        <w:t>——调平螺栓。</w:t>
      </w:r>
    </w:p>
    <w:p w14:paraId="79A5DC98" w14:textId="77777777" w:rsidR="000415DF" w:rsidRPr="00DC2CC9" w:rsidRDefault="000415DF" w:rsidP="000415DF">
      <w:pPr>
        <w:pStyle w:val="afd"/>
        <w:spacing w:before="156" w:after="156"/>
        <w:rPr>
          <w:rFonts w:ascii="Times New Roman"/>
        </w:rPr>
      </w:pPr>
      <w:r w:rsidRPr="00DC2CC9">
        <w:rPr>
          <w:rFonts w:ascii="Times New Roman" w:hint="eastAsia"/>
        </w:rPr>
        <w:t>支座安装示意图</w:t>
      </w:r>
    </w:p>
    <w:p w14:paraId="6B0CA75B" w14:textId="77777777" w:rsidR="000415DF" w:rsidRPr="00DC2CC9" w:rsidRDefault="000415DF" w:rsidP="00BF132B">
      <w:pPr>
        <w:pStyle w:val="affc"/>
        <w:spacing w:before="312" w:after="312"/>
        <w:rPr>
          <w:rFonts w:ascii="Times New Roman"/>
        </w:rPr>
      </w:pPr>
      <w:bookmarkStart w:id="119" w:name="_Toc178091212"/>
      <w:bookmarkStart w:id="120" w:name="_Toc178367500"/>
      <w:bookmarkStart w:id="121" w:name="_Toc178091253"/>
      <w:bookmarkStart w:id="122" w:name="_Toc178091390"/>
      <w:bookmarkStart w:id="123" w:name="_Toc178266402"/>
      <w:bookmarkStart w:id="124" w:name="_Toc3784"/>
      <w:bookmarkStart w:id="125" w:name="_Toc178091197"/>
      <w:bookmarkStart w:id="126" w:name="_Toc178367408"/>
      <w:bookmarkStart w:id="127" w:name="_Toc178266385"/>
      <w:bookmarkStart w:id="128" w:name="_Toc180225956"/>
      <w:bookmarkStart w:id="129" w:name="_Toc180225968"/>
      <w:bookmarkStart w:id="130" w:name="_Toc180227719"/>
      <w:bookmarkStart w:id="131" w:name="_Toc180651849"/>
      <w:bookmarkStart w:id="132" w:name="_Toc180654613"/>
      <w:r w:rsidRPr="00DC2CC9">
        <w:rPr>
          <w:rFonts w:ascii="Times New Roman" w:hint="eastAsia"/>
        </w:rPr>
        <w:t>维护与保养</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5F7D3CE0" w14:textId="77777777" w:rsidR="000415DF" w:rsidRPr="00DC2CC9" w:rsidRDefault="000415DF" w:rsidP="000415DF">
      <w:pPr>
        <w:pStyle w:val="affd"/>
        <w:spacing w:before="156" w:after="156"/>
        <w:rPr>
          <w:rFonts w:ascii="Times New Roman"/>
        </w:rPr>
      </w:pPr>
      <w:bookmarkStart w:id="133" w:name="_Toc178266386"/>
      <w:bookmarkStart w:id="134" w:name="_Toc178091198"/>
      <w:bookmarkStart w:id="135" w:name="_Toc178367409"/>
      <w:bookmarkStart w:id="136" w:name="_Toc180225957"/>
      <w:r w:rsidRPr="00DC2CC9">
        <w:rPr>
          <w:rFonts w:ascii="Times New Roman" w:hint="eastAsia"/>
        </w:rPr>
        <w:t>定期检查</w:t>
      </w:r>
      <w:bookmarkEnd w:id="133"/>
      <w:bookmarkEnd w:id="134"/>
      <w:bookmarkEnd w:id="135"/>
      <w:bookmarkEnd w:id="136"/>
    </w:p>
    <w:p w14:paraId="62955017" w14:textId="77777777" w:rsidR="000415DF" w:rsidRPr="00DC2CC9" w:rsidRDefault="000415DF" w:rsidP="000415DF">
      <w:pPr>
        <w:pStyle w:val="afffffffff1"/>
        <w:rPr>
          <w:rFonts w:ascii="Times New Roman"/>
        </w:rPr>
      </w:pPr>
      <w:r w:rsidRPr="00DC2CC9">
        <w:rPr>
          <w:rFonts w:ascii="Times New Roman" w:hint="eastAsia"/>
        </w:rPr>
        <w:t>定期（半年或一年）对支座进行外观检查，查看支座表面是否有裂缝、变形、锈蚀等情况。</w:t>
      </w:r>
    </w:p>
    <w:p w14:paraId="152E5FB8" w14:textId="77777777" w:rsidR="000415DF" w:rsidRPr="00DC2CC9" w:rsidRDefault="000415DF" w:rsidP="000415DF">
      <w:pPr>
        <w:pStyle w:val="afffffffff1"/>
        <w:rPr>
          <w:rFonts w:ascii="Times New Roman"/>
        </w:rPr>
      </w:pPr>
      <w:r w:rsidRPr="00DC2CC9">
        <w:rPr>
          <w:rFonts w:ascii="Times New Roman" w:hint="eastAsia"/>
        </w:rPr>
        <w:t>检查支座上下支座板与结构的连接部位是否牢固，有无松动、锈蚀或损伤现象。</w:t>
      </w:r>
    </w:p>
    <w:p w14:paraId="2F1AD5C2" w14:textId="77777777" w:rsidR="000415DF" w:rsidRPr="00DC2CC9" w:rsidRDefault="000415DF" w:rsidP="000415DF">
      <w:pPr>
        <w:pStyle w:val="afffffffff1"/>
        <w:rPr>
          <w:rFonts w:ascii="Times New Roman"/>
        </w:rPr>
      </w:pPr>
      <w:bookmarkStart w:id="137" w:name="_Toc23041"/>
      <w:r w:rsidRPr="00DC2CC9">
        <w:rPr>
          <w:rFonts w:ascii="Times New Roman" w:hint="eastAsia"/>
        </w:rPr>
        <w:t>观察滑动面是否平整、光滑，有无损伤、磨损或杂物附着</w:t>
      </w:r>
      <w:bookmarkEnd w:id="137"/>
      <w:r w:rsidRPr="00DC2CC9">
        <w:rPr>
          <w:rFonts w:ascii="Times New Roman" w:hint="eastAsia"/>
        </w:rPr>
        <w:t>。</w:t>
      </w:r>
    </w:p>
    <w:p w14:paraId="33874AFE" w14:textId="77777777" w:rsidR="000415DF" w:rsidRPr="00DC2CC9" w:rsidRDefault="000415DF" w:rsidP="000415DF">
      <w:pPr>
        <w:pStyle w:val="afffffffff1"/>
        <w:rPr>
          <w:rFonts w:ascii="Times New Roman"/>
        </w:rPr>
      </w:pPr>
      <w:r w:rsidRPr="00DC2CC9">
        <w:rPr>
          <w:rFonts w:ascii="Times New Roman" w:hint="eastAsia"/>
        </w:rPr>
        <w:lastRenderedPageBreak/>
        <w:t>观察支座限位装置是否完好，若出现破损则应立即采用技术手段进行修补。</w:t>
      </w:r>
    </w:p>
    <w:p w14:paraId="6854D21B" w14:textId="77777777" w:rsidR="000415DF" w:rsidRPr="00DC2CC9" w:rsidRDefault="000415DF" w:rsidP="000415DF">
      <w:pPr>
        <w:pStyle w:val="affd"/>
        <w:spacing w:before="156" w:after="156"/>
        <w:rPr>
          <w:rFonts w:ascii="Times New Roman"/>
        </w:rPr>
      </w:pPr>
      <w:bookmarkStart w:id="138" w:name="_Toc178266387"/>
      <w:bookmarkStart w:id="139" w:name="_Toc178091199"/>
      <w:bookmarkStart w:id="140" w:name="_Toc178367410"/>
      <w:bookmarkStart w:id="141" w:name="_Toc180225958"/>
      <w:r w:rsidRPr="00DC2CC9">
        <w:rPr>
          <w:rFonts w:ascii="Times New Roman" w:hint="eastAsia"/>
        </w:rPr>
        <w:t>清洁维护</w:t>
      </w:r>
      <w:bookmarkEnd w:id="138"/>
      <w:bookmarkEnd w:id="139"/>
      <w:bookmarkEnd w:id="140"/>
      <w:bookmarkEnd w:id="141"/>
    </w:p>
    <w:p w14:paraId="190D3BDD" w14:textId="77777777" w:rsidR="000415DF" w:rsidRPr="00DC2CC9" w:rsidRDefault="000415DF" w:rsidP="000415DF">
      <w:pPr>
        <w:pStyle w:val="afffffffff1"/>
        <w:rPr>
          <w:rFonts w:ascii="Times New Roman"/>
        </w:rPr>
      </w:pPr>
      <w:r w:rsidRPr="00DC2CC9">
        <w:rPr>
          <w:rFonts w:ascii="Times New Roman" w:hint="eastAsia"/>
        </w:rPr>
        <w:t>定期清理支座表面的灰尘、污垢和杂物等，可使用干净的抹布或软毛刷进行擦拭。</w:t>
      </w:r>
    </w:p>
    <w:p w14:paraId="2BBE4FE6" w14:textId="77777777" w:rsidR="000415DF" w:rsidRPr="00DC2CC9" w:rsidRDefault="000415DF" w:rsidP="000415DF">
      <w:pPr>
        <w:pStyle w:val="afffffffff1"/>
        <w:rPr>
          <w:rFonts w:ascii="Times New Roman"/>
        </w:rPr>
      </w:pPr>
      <w:r w:rsidRPr="00DC2CC9">
        <w:rPr>
          <w:rFonts w:ascii="Times New Roman" w:hint="eastAsia"/>
        </w:rPr>
        <w:t>对于滑动面上的污渍，应及时进行清理，避免影响滑动面质量从而大大降低使用性能。</w:t>
      </w:r>
    </w:p>
    <w:p w14:paraId="3F0BF063" w14:textId="77777777" w:rsidR="000415DF" w:rsidRPr="00DC2CC9" w:rsidRDefault="000415DF" w:rsidP="000415DF">
      <w:pPr>
        <w:pStyle w:val="afffffffff1"/>
        <w:rPr>
          <w:rFonts w:ascii="Times New Roman"/>
        </w:rPr>
      </w:pPr>
      <w:r w:rsidRPr="00DC2CC9">
        <w:rPr>
          <w:rFonts w:ascii="Times New Roman" w:hint="eastAsia"/>
        </w:rPr>
        <w:t>在支座周围设置防护措施，防止泥沙、碎石等杂物进入支座内部，影响其正常工作。</w:t>
      </w:r>
    </w:p>
    <w:p w14:paraId="4811EAE5" w14:textId="77777777" w:rsidR="000415DF" w:rsidRPr="00DC2CC9" w:rsidRDefault="000415DF" w:rsidP="000415DF">
      <w:pPr>
        <w:pStyle w:val="afffffffff1"/>
        <w:rPr>
          <w:rFonts w:ascii="Times New Roman"/>
          <w:b/>
          <w:bCs/>
        </w:rPr>
      </w:pPr>
      <w:r w:rsidRPr="00DC2CC9">
        <w:rPr>
          <w:rFonts w:ascii="Times New Roman" w:hint="eastAsia"/>
        </w:rPr>
        <w:t>对于安装在室外的支座，可考虑设置防护罩或防水罩，以减少外界环境对支座的影响。</w:t>
      </w:r>
    </w:p>
    <w:p w14:paraId="726D205D" w14:textId="77777777" w:rsidR="000415DF" w:rsidRPr="00DC2CC9" w:rsidRDefault="000415DF" w:rsidP="000415DF">
      <w:pPr>
        <w:pStyle w:val="affd"/>
        <w:spacing w:before="156" w:after="156"/>
        <w:rPr>
          <w:rFonts w:ascii="Times New Roman"/>
        </w:rPr>
      </w:pPr>
      <w:bookmarkStart w:id="142" w:name="_Toc178266388"/>
      <w:bookmarkStart w:id="143" w:name="_Toc178091200"/>
      <w:bookmarkStart w:id="144" w:name="_Toc178367411"/>
      <w:bookmarkStart w:id="145" w:name="_Toc180225959"/>
      <w:r w:rsidRPr="00DC2CC9">
        <w:rPr>
          <w:rFonts w:ascii="Times New Roman" w:hint="eastAsia"/>
        </w:rPr>
        <w:t>特殊情况处理</w:t>
      </w:r>
      <w:bookmarkEnd w:id="142"/>
      <w:bookmarkEnd w:id="143"/>
      <w:bookmarkEnd w:id="144"/>
      <w:bookmarkEnd w:id="145"/>
    </w:p>
    <w:p w14:paraId="5F7F936F" w14:textId="77777777" w:rsidR="000415DF" w:rsidRPr="00DC2CC9" w:rsidRDefault="000415DF" w:rsidP="000415DF">
      <w:pPr>
        <w:pStyle w:val="afffffffff1"/>
        <w:rPr>
          <w:rFonts w:ascii="Times New Roman"/>
        </w:rPr>
      </w:pPr>
      <w:r w:rsidRPr="00DC2CC9">
        <w:rPr>
          <w:rFonts w:ascii="Times New Roman" w:hint="eastAsia"/>
        </w:rPr>
        <w:t>在经历地震后，应立即对支座进行全方面检查，包括外观、滑动面、摩擦系数、限位装置等，如果出现问题应及时进行修复或更换。</w:t>
      </w:r>
    </w:p>
    <w:p w14:paraId="3C47E8B5" w14:textId="77777777" w:rsidR="000415DF" w:rsidRPr="00DC2CC9" w:rsidRDefault="000415DF" w:rsidP="000415DF">
      <w:pPr>
        <w:pStyle w:val="afffffffff1"/>
        <w:rPr>
          <w:rFonts w:ascii="Times New Roman"/>
        </w:rPr>
      </w:pPr>
      <w:r w:rsidRPr="00DC2CC9">
        <w:rPr>
          <w:rFonts w:ascii="Times New Roman" w:hint="eastAsia"/>
        </w:rPr>
        <w:t>在高温、低温、潮湿等极端环境下，应加强对支座的检查和维护。</w:t>
      </w:r>
    </w:p>
    <w:p w14:paraId="2DB74A5C" w14:textId="77777777" w:rsidR="000415DF" w:rsidRPr="00DC2CC9" w:rsidRDefault="000415DF" w:rsidP="000415DF">
      <w:pPr>
        <w:pStyle w:val="afffffffff1"/>
        <w:rPr>
          <w:rFonts w:ascii="Times New Roman"/>
        </w:rPr>
      </w:pPr>
      <w:r w:rsidRPr="00DC2CC9">
        <w:rPr>
          <w:rFonts w:ascii="Times New Roman" w:hint="eastAsia"/>
        </w:rPr>
        <w:t>对于高温环境，要注意检查支座的材料性能是否收到影响，防止出现软化、变形等问题。</w:t>
      </w:r>
    </w:p>
    <w:p w14:paraId="6BAC86C2" w14:textId="77777777" w:rsidR="000415DF" w:rsidRPr="00DC2CC9" w:rsidRDefault="000415DF" w:rsidP="000415DF">
      <w:pPr>
        <w:pStyle w:val="afffffffff1"/>
        <w:rPr>
          <w:rFonts w:ascii="Times New Roman"/>
        </w:rPr>
      </w:pPr>
      <w:bookmarkStart w:id="146" w:name="_Toc11547"/>
      <w:r w:rsidRPr="00DC2CC9">
        <w:rPr>
          <w:rFonts w:ascii="Times New Roman" w:hint="eastAsia"/>
        </w:rPr>
        <w:t>对于潮湿环境，要做好防潮措施，防止支座生锈腐蚀。</w:t>
      </w:r>
      <w:bookmarkEnd w:id="146"/>
      <w:r w:rsidRPr="00DC2CC9">
        <w:rPr>
          <w:rFonts w:ascii="Times New Roman" w:hint="eastAsia"/>
        </w:rPr>
        <w:t>若发生锈蚀现象，应对支座或零部件补涂防锈漆。</w:t>
      </w:r>
    </w:p>
    <w:p w14:paraId="54BAAA6D" w14:textId="77777777" w:rsidR="000415DF" w:rsidRPr="00DC2CC9" w:rsidRDefault="000415DF" w:rsidP="000415DF">
      <w:pPr>
        <w:pStyle w:val="affd"/>
        <w:spacing w:before="156" w:after="156"/>
        <w:rPr>
          <w:rFonts w:ascii="Times New Roman"/>
        </w:rPr>
      </w:pPr>
      <w:bookmarkStart w:id="147" w:name="_Toc178091201"/>
      <w:bookmarkStart w:id="148" w:name="_Toc178367412"/>
      <w:bookmarkStart w:id="149" w:name="_Toc178266389"/>
      <w:bookmarkStart w:id="150" w:name="_Toc180225960"/>
      <w:r w:rsidRPr="00DC2CC9">
        <w:rPr>
          <w:rFonts w:ascii="Times New Roman" w:hint="eastAsia"/>
        </w:rPr>
        <w:t>记录与档案管理</w:t>
      </w:r>
      <w:bookmarkEnd w:id="147"/>
      <w:bookmarkEnd w:id="148"/>
      <w:bookmarkEnd w:id="149"/>
      <w:bookmarkEnd w:id="150"/>
    </w:p>
    <w:p w14:paraId="1828EB72" w14:textId="77777777" w:rsidR="000415DF" w:rsidRPr="00DC2CC9" w:rsidRDefault="000415DF" w:rsidP="000415DF">
      <w:pPr>
        <w:pStyle w:val="afffffffff1"/>
        <w:rPr>
          <w:rFonts w:ascii="Times New Roman"/>
        </w:rPr>
      </w:pPr>
      <w:r w:rsidRPr="00DC2CC9">
        <w:rPr>
          <w:rFonts w:ascii="Times New Roman" w:hint="eastAsia"/>
        </w:rPr>
        <w:t>对每次的定期检查与维护保养进行详细记录，包括检查时间、检查内容、发现的问题以及处理措施等。</w:t>
      </w:r>
    </w:p>
    <w:p w14:paraId="74DD31B4" w14:textId="77777777" w:rsidR="000415DF" w:rsidRPr="00DC2CC9" w:rsidRDefault="000415DF" w:rsidP="000415DF">
      <w:pPr>
        <w:pStyle w:val="afffffffff1"/>
        <w:rPr>
          <w:rFonts w:ascii="Times New Roman"/>
        </w:rPr>
      </w:pPr>
      <w:r w:rsidRPr="00DC2CC9">
        <w:rPr>
          <w:rFonts w:ascii="Times New Roman" w:hint="eastAsia"/>
        </w:rPr>
        <w:t>建立支座的档案，包括设计图纸、安装记录、验收报告、检测报告、维保记录等，并妥善保管，以便于在需要时进行查阅。</w:t>
      </w:r>
    </w:p>
    <w:p w14:paraId="465C5579" w14:textId="10C2385F" w:rsidR="000415DF" w:rsidRPr="004B7EC9" w:rsidRDefault="00C72EC8" w:rsidP="00C72EC8">
      <w:pPr>
        <w:pStyle w:val="affffb"/>
        <w:ind w:firstLineChars="0" w:firstLine="0"/>
        <w:jc w:val="center"/>
        <w:rPr>
          <w:rFonts w:ascii="Times New Roman"/>
        </w:rPr>
      </w:pPr>
      <w:bookmarkStart w:id="151" w:name="BookMark8"/>
      <w:bookmarkEnd w:id="27"/>
      <w:r w:rsidRPr="004B7EC9">
        <w:rPr>
          <w:rFonts w:ascii="Times New Roman" w:hint="eastAsia"/>
        </w:rPr>
        <w:drawing>
          <wp:inline distT="0" distB="0" distL="0" distR="0" wp14:anchorId="05F93E2D" wp14:editId="5F14AB3B">
            <wp:extent cx="1485900" cy="317500"/>
            <wp:effectExtent l="0" t="0" r="0" b="6350"/>
            <wp:docPr id="502082449" name="图片 2"/>
            <wp:cNvGraphicFramePr/>
            <a:graphic xmlns:a="http://schemas.openxmlformats.org/drawingml/2006/main">
              <a:graphicData uri="http://schemas.openxmlformats.org/drawingml/2006/picture">
                <pic:pic xmlns:pic="http://schemas.openxmlformats.org/drawingml/2006/picture">
                  <pic:nvPicPr>
                    <pic:cNvPr id="502082449" name=""/>
                    <pic:cNvPicPr/>
                  </pic:nvPicPr>
                  <pic:blipFill>
                    <a:blip r:embed="rId23">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51"/>
    </w:p>
    <w:sectPr w:rsidR="000415DF" w:rsidRPr="004B7EC9" w:rsidSect="00CD561D">
      <w:pgSz w:w="11906" w:h="16838" w:code="9"/>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56C433" w14:textId="77777777" w:rsidR="00DF2753" w:rsidRDefault="00DF2753" w:rsidP="00D86DB7">
      <w:r>
        <w:separator/>
      </w:r>
    </w:p>
    <w:p w14:paraId="4DB1B2E4" w14:textId="77777777" w:rsidR="00DF2753" w:rsidRDefault="00DF2753"/>
    <w:p w14:paraId="3528B0EA" w14:textId="77777777" w:rsidR="00DF2753" w:rsidRDefault="00DF2753"/>
  </w:endnote>
  <w:endnote w:type="continuationSeparator" w:id="0">
    <w:p w14:paraId="308F58DB" w14:textId="77777777" w:rsidR="00DF2753" w:rsidRDefault="00DF2753" w:rsidP="00D86DB7">
      <w:r>
        <w:continuationSeparator/>
      </w:r>
    </w:p>
    <w:p w14:paraId="0650A31A" w14:textId="77777777" w:rsidR="00DF2753" w:rsidRDefault="00DF2753"/>
    <w:p w14:paraId="5E8DD23E" w14:textId="77777777" w:rsidR="00DF2753" w:rsidRDefault="00DF27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790461"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854DE"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425A96"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5CC65B" w14:textId="77777777" w:rsidR="000C57D6" w:rsidRDefault="000C57D6" w:rsidP="00C94DF2">
    <w:pPr>
      <w:pStyle w:val="affff8"/>
    </w:pPr>
    <w:r>
      <w:fldChar w:fldCharType="begin"/>
    </w:r>
    <w:r>
      <w:instrText>PAGE   \* MERGEFORMAT</w:instrText>
    </w:r>
    <w:r>
      <w:fldChar w:fldCharType="separate"/>
    </w:r>
    <w:r w:rsidR="00AB41D5" w:rsidRPr="00AB41D5">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E92D15" w14:textId="77777777" w:rsidR="00DF2753" w:rsidRDefault="00DF2753" w:rsidP="00D86DB7">
      <w:r>
        <w:separator/>
      </w:r>
    </w:p>
  </w:footnote>
  <w:footnote w:type="continuationSeparator" w:id="0">
    <w:p w14:paraId="7F5D4B02" w14:textId="77777777" w:rsidR="00DF2753" w:rsidRDefault="00DF2753" w:rsidP="00D86DB7">
      <w:r>
        <w:continuationSeparator/>
      </w:r>
    </w:p>
    <w:p w14:paraId="391392F9" w14:textId="77777777" w:rsidR="00DF2753" w:rsidRDefault="00DF2753"/>
    <w:p w14:paraId="3EFA2F0D" w14:textId="77777777" w:rsidR="00DF2753" w:rsidRDefault="00DF275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C2CB5A"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502C7" w14:textId="77777777" w:rsidR="00145D9D" w:rsidRPr="00E70388" w:rsidRDefault="00145D9D"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B8939"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399951" w14:textId="34D3D685"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E60327">
      <w:rPr>
        <w:noProof/>
        <w:lang w:val="fr-FR"/>
      </w:rPr>
      <w:t>DB XX/T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A49854" w14:textId="3CD467A5" w:rsidR="00D84FA1" w:rsidRPr="00D84FA1" w:rsidRDefault="00D84FA1" w:rsidP="00A2271D">
    <w:pPr>
      <w:pStyle w:val="afffff0"/>
      <w:rPr>
        <w:rFonts w:hint="eastAsia"/>
      </w:rPr>
    </w:pPr>
    <w:r>
      <w:fldChar w:fldCharType="begin"/>
    </w:r>
    <w:r>
      <w:instrText xml:space="preserve"> STYLEREF  标准文件_文件编号  \* MERGEFORMAT </w:instrText>
    </w:r>
    <w:r>
      <w:fldChar w:fldCharType="separate"/>
    </w:r>
    <w:r w:rsidR="008208DF">
      <w:rPr>
        <w:rFonts w:hint="eastAsia"/>
      </w:rPr>
      <w:t>DB XX/T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42FB920"/>
    <w:multiLevelType w:val="singleLevel"/>
    <w:tmpl w:val="942FB920"/>
    <w:lvl w:ilvl="0">
      <w:start w:val="1"/>
      <w:numFmt w:val="decimal"/>
      <w:suff w:val="nothing"/>
      <w:lvlText w:val="%1）"/>
      <w:lvlJc w:val="left"/>
    </w:lvl>
  </w:abstractNum>
  <w:abstractNum w:abstractNumId="1"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2"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4"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6"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8"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15:restartNumberingAfterBreak="0">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6C800AE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427729242">
    <w:abstractNumId w:val="1"/>
  </w:num>
  <w:num w:numId="2" w16cid:durableId="1967421517">
    <w:abstractNumId w:val="21"/>
  </w:num>
  <w:num w:numId="3" w16cid:durableId="910120876">
    <w:abstractNumId w:val="6"/>
  </w:num>
  <w:num w:numId="4" w16cid:durableId="1068378049">
    <w:abstractNumId w:val="19"/>
  </w:num>
  <w:num w:numId="5" w16cid:durableId="1382049051">
    <w:abstractNumId w:val="14"/>
  </w:num>
  <w:num w:numId="6" w16cid:durableId="318726520">
    <w:abstractNumId w:val="24"/>
  </w:num>
  <w:num w:numId="7" w16cid:durableId="984354980">
    <w:abstractNumId w:val="9"/>
  </w:num>
  <w:num w:numId="8" w16cid:durableId="1980569807">
    <w:abstractNumId w:val="10"/>
  </w:num>
  <w:num w:numId="9" w16cid:durableId="2036926036">
    <w:abstractNumId w:val="17"/>
  </w:num>
  <w:num w:numId="10" w16cid:durableId="869150540">
    <w:abstractNumId w:val="25"/>
  </w:num>
  <w:num w:numId="11" w16cid:durableId="853614968">
    <w:abstractNumId w:val="5"/>
  </w:num>
  <w:num w:numId="12" w16cid:durableId="1048258425">
    <w:abstractNumId w:val="15"/>
  </w:num>
  <w:num w:numId="13" w16cid:durableId="1380860519">
    <w:abstractNumId w:val="26"/>
  </w:num>
  <w:num w:numId="14" w16cid:durableId="2084140975">
    <w:abstractNumId w:val="12"/>
  </w:num>
  <w:num w:numId="15" w16cid:durableId="878277652">
    <w:abstractNumId w:val="7"/>
  </w:num>
  <w:num w:numId="16" w16cid:durableId="980574989">
    <w:abstractNumId w:val="11"/>
  </w:num>
  <w:num w:numId="17" w16cid:durableId="1582180672">
    <w:abstractNumId w:val="23"/>
  </w:num>
  <w:num w:numId="18" w16cid:durableId="1999459544">
    <w:abstractNumId w:val="4"/>
  </w:num>
  <w:num w:numId="19" w16cid:durableId="1560049260">
    <w:abstractNumId w:val="8"/>
  </w:num>
  <w:num w:numId="20" w16cid:durableId="206308189">
    <w:abstractNumId w:val="20"/>
  </w:num>
  <w:num w:numId="21" w16cid:durableId="1675375365">
    <w:abstractNumId w:val="22"/>
  </w:num>
  <w:num w:numId="22" w16cid:durableId="792946970">
    <w:abstractNumId w:val="18"/>
  </w:num>
  <w:num w:numId="23" w16cid:durableId="1323314085">
    <w:abstractNumId w:val="30"/>
  </w:num>
  <w:num w:numId="24" w16cid:durableId="1145319014">
    <w:abstractNumId w:val="16"/>
  </w:num>
  <w:num w:numId="25" w16cid:durableId="1466461743">
    <w:abstractNumId w:val="29"/>
  </w:num>
  <w:num w:numId="26" w16cid:durableId="1458793634">
    <w:abstractNumId w:val="3"/>
  </w:num>
  <w:num w:numId="27" w16cid:durableId="1349521906">
    <w:abstractNumId w:val="13"/>
  </w:num>
  <w:num w:numId="28" w16cid:durableId="1010449022">
    <w:abstractNumId w:val="31"/>
  </w:num>
  <w:num w:numId="29" w16cid:durableId="433550893">
    <w:abstractNumId w:val="28"/>
  </w:num>
  <w:num w:numId="30" w16cid:durableId="1161889406">
    <w:abstractNumId w:val="27"/>
  </w:num>
  <w:num w:numId="31" w16cid:durableId="473258957">
    <w:abstractNumId w:val="2"/>
  </w:num>
  <w:num w:numId="32" w16cid:durableId="6223433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4069968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253534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9516627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231611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27865067">
    <w:abstractNumId w:val="0"/>
  </w:num>
  <w:num w:numId="38" w16cid:durableId="1145127151">
    <w:abstractNumId w:val="13"/>
  </w:num>
  <w:num w:numId="39" w16cid:durableId="9664001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170017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759087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470705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013622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673648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5818667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49993058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291328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042932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7782121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1862885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397435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8593936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8487582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445150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8243936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uiiHQ+8aZOWahT+YOQkBMfnmXlIIMn2VrA2yqxaIjYGASGVwabPI12+iFChQ3mzFqsEkc0qr/9BtWUfATv9zeQ==" w:salt="pA63gYiZhjdYaH+fe9gPX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CED"/>
    <w:rsid w:val="0000040A"/>
    <w:rsid w:val="00000A94"/>
    <w:rsid w:val="00001972"/>
    <w:rsid w:val="00001D9A"/>
    <w:rsid w:val="00004DA3"/>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15DF"/>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0AB1"/>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533F"/>
    <w:rsid w:val="000A5C5A"/>
    <w:rsid w:val="000A7311"/>
    <w:rsid w:val="000B060F"/>
    <w:rsid w:val="000B1592"/>
    <w:rsid w:val="000B1FF2"/>
    <w:rsid w:val="000B3CDA"/>
    <w:rsid w:val="000B5226"/>
    <w:rsid w:val="000B6A0B"/>
    <w:rsid w:val="000C0F6C"/>
    <w:rsid w:val="000C11DB"/>
    <w:rsid w:val="000C1492"/>
    <w:rsid w:val="000C2FBD"/>
    <w:rsid w:val="000C4465"/>
    <w:rsid w:val="000C4B41"/>
    <w:rsid w:val="000C57D6"/>
    <w:rsid w:val="000C6362"/>
    <w:rsid w:val="000C7666"/>
    <w:rsid w:val="000D0A9C"/>
    <w:rsid w:val="000D1795"/>
    <w:rsid w:val="000D329A"/>
    <w:rsid w:val="000D4B9C"/>
    <w:rsid w:val="000D4EB6"/>
    <w:rsid w:val="000D6052"/>
    <w:rsid w:val="000D753B"/>
    <w:rsid w:val="000E4829"/>
    <w:rsid w:val="000E4C9E"/>
    <w:rsid w:val="000E6FD7"/>
    <w:rsid w:val="000F06E1"/>
    <w:rsid w:val="000F0E3C"/>
    <w:rsid w:val="000F19D5"/>
    <w:rsid w:val="000F4AEA"/>
    <w:rsid w:val="000F633F"/>
    <w:rsid w:val="000F67E9"/>
    <w:rsid w:val="000F6B10"/>
    <w:rsid w:val="00104926"/>
    <w:rsid w:val="00107313"/>
    <w:rsid w:val="00113B1E"/>
    <w:rsid w:val="0011711C"/>
    <w:rsid w:val="0012059C"/>
    <w:rsid w:val="00124E17"/>
    <w:rsid w:val="00124E4F"/>
    <w:rsid w:val="001260B7"/>
    <w:rsid w:val="001265CB"/>
    <w:rsid w:val="001321C6"/>
    <w:rsid w:val="001325C4"/>
    <w:rsid w:val="00133010"/>
    <w:rsid w:val="001338EE"/>
    <w:rsid w:val="00133AAE"/>
    <w:rsid w:val="00135323"/>
    <w:rsid w:val="001356C4"/>
    <w:rsid w:val="0014029F"/>
    <w:rsid w:val="00141114"/>
    <w:rsid w:val="00142969"/>
    <w:rsid w:val="001446C2"/>
    <w:rsid w:val="001457E7"/>
    <w:rsid w:val="00145D9D"/>
    <w:rsid w:val="00146388"/>
    <w:rsid w:val="001529E5"/>
    <w:rsid w:val="00153C7E"/>
    <w:rsid w:val="00156713"/>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204"/>
    <w:rsid w:val="0017340B"/>
    <w:rsid w:val="00173FB1"/>
    <w:rsid w:val="00176DFD"/>
    <w:rsid w:val="001852C9"/>
    <w:rsid w:val="00190087"/>
    <w:rsid w:val="001913C4"/>
    <w:rsid w:val="0019348F"/>
    <w:rsid w:val="00193A07"/>
    <w:rsid w:val="00194C95"/>
    <w:rsid w:val="00195C34"/>
    <w:rsid w:val="00196EF5"/>
    <w:rsid w:val="001A1A53"/>
    <w:rsid w:val="001A234A"/>
    <w:rsid w:val="001A2CC4"/>
    <w:rsid w:val="001A4CF3"/>
    <w:rsid w:val="001B06E8"/>
    <w:rsid w:val="001B27D1"/>
    <w:rsid w:val="001B71D0"/>
    <w:rsid w:val="001B71EE"/>
    <w:rsid w:val="001C04A8"/>
    <w:rsid w:val="001C167B"/>
    <w:rsid w:val="001C2C03"/>
    <w:rsid w:val="001C42F7"/>
    <w:rsid w:val="001C49E5"/>
    <w:rsid w:val="001C680C"/>
    <w:rsid w:val="001C7FEA"/>
    <w:rsid w:val="001D0499"/>
    <w:rsid w:val="001D0BBE"/>
    <w:rsid w:val="001D0ED4"/>
    <w:rsid w:val="001D212F"/>
    <w:rsid w:val="001D29D7"/>
    <w:rsid w:val="001D2DE7"/>
    <w:rsid w:val="001D3EA0"/>
    <w:rsid w:val="001D411C"/>
    <w:rsid w:val="001E1B6A"/>
    <w:rsid w:val="001E2484"/>
    <w:rsid w:val="001E3CC4"/>
    <w:rsid w:val="001E4882"/>
    <w:rsid w:val="001E73AB"/>
    <w:rsid w:val="001F092D"/>
    <w:rsid w:val="001F143A"/>
    <w:rsid w:val="001F1605"/>
    <w:rsid w:val="001F2508"/>
    <w:rsid w:val="001F4136"/>
    <w:rsid w:val="001F4816"/>
    <w:rsid w:val="001F4DF0"/>
    <w:rsid w:val="001F4EE9"/>
    <w:rsid w:val="001F69B4"/>
    <w:rsid w:val="001F77C7"/>
    <w:rsid w:val="00200183"/>
    <w:rsid w:val="00200333"/>
    <w:rsid w:val="0020107D"/>
    <w:rsid w:val="00202AA4"/>
    <w:rsid w:val="00202F76"/>
    <w:rsid w:val="002031F7"/>
    <w:rsid w:val="002040E6"/>
    <w:rsid w:val="0020527B"/>
    <w:rsid w:val="00205F2C"/>
    <w:rsid w:val="00210B15"/>
    <w:rsid w:val="002133D9"/>
    <w:rsid w:val="002142EA"/>
    <w:rsid w:val="002204BB"/>
    <w:rsid w:val="002209FA"/>
    <w:rsid w:val="00221B79"/>
    <w:rsid w:val="00221C6B"/>
    <w:rsid w:val="002253A1"/>
    <w:rsid w:val="00225CF8"/>
    <w:rsid w:val="0022794E"/>
    <w:rsid w:val="00233D64"/>
    <w:rsid w:val="0023482A"/>
    <w:rsid w:val="002359CB"/>
    <w:rsid w:val="002419F1"/>
    <w:rsid w:val="00243540"/>
    <w:rsid w:val="0024497B"/>
    <w:rsid w:val="0024515B"/>
    <w:rsid w:val="00246021"/>
    <w:rsid w:val="0024666E"/>
    <w:rsid w:val="00247F52"/>
    <w:rsid w:val="00250B25"/>
    <w:rsid w:val="00250BBE"/>
    <w:rsid w:val="002515C2"/>
    <w:rsid w:val="0025194F"/>
    <w:rsid w:val="0026148A"/>
    <w:rsid w:val="00262696"/>
    <w:rsid w:val="00263C6B"/>
    <w:rsid w:val="00263D25"/>
    <w:rsid w:val="002643C3"/>
    <w:rsid w:val="00264A0C"/>
    <w:rsid w:val="00266EEB"/>
    <w:rsid w:val="00267EF4"/>
    <w:rsid w:val="00270CB8"/>
    <w:rsid w:val="00272B08"/>
    <w:rsid w:val="002771AC"/>
    <w:rsid w:val="00281BB8"/>
    <w:rsid w:val="00281E9E"/>
    <w:rsid w:val="00282405"/>
    <w:rsid w:val="00285170"/>
    <w:rsid w:val="00285361"/>
    <w:rsid w:val="00292925"/>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3DE"/>
    <w:rsid w:val="002B7332"/>
    <w:rsid w:val="002B7F51"/>
    <w:rsid w:val="002C09E7"/>
    <w:rsid w:val="002C1E06"/>
    <w:rsid w:val="002C1E1C"/>
    <w:rsid w:val="002C3F07"/>
    <w:rsid w:val="002C5278"/>
    <w:rsid w:val="002C7EBB"/>
    <w:rsid w:val="002D032D"/>
    <w:rsid w:val="002D06C1"/>
    <w:rsid w:val="002D1C81"/>
    <w:rsid w:val="002D42B5"/>
    <w:rsid w:val="002D4F1A"/>
    <w:rsid w:val="002D6EC6"/>
    <w:rsid w:val="002D6FBF"/>
    <w:rsid w:val="002D79AC"/>
    <w:rsid w:val="002E039D"/>
    <w:rsid w:val="002E105C"/>
    <w:rsid w:val="002E4D5A"/>
    <w:rsid w:val="002E6326"/>
    <w:rsid w:val="002F30E0"/>
    <w:rsid w:val="002F35E4"/>
    <w:rsid w:val="002F3730"/>
    <w:rsid w:val="002F38E1"/>
    <w:rsid w:val="002F7AF6"/>
    <w:rsid w:val="00300E63"/>
    <w:rsid w:val="00301A69"/>
    <w:rsid w:val="00302F5F"/>
    <w:rsid w:val="0030441D"/>
    <w:rsid w:val="00306063"/>
    <w:rsid w:val="00313B85"/>
    <w:rsid w:val="00317988"/>
    <w:rsid w:val="003221B4"/>
    <w:rsid w:val="0032258D"/>
    <w:rsid w:val="00322E62"/>
    <w:rsid w:val="00324D13"/>
    <w:rsid w:val="00324D2A"/>
    <w:rsid w:val="00324EDD"/>
    <w:rsid w:val="0033312D"/>
    <w:rsid w:val="003331E4"/>
    <w:rsid w:val="003333A6"/>
    <w:rsid w:val="00336C64"/>
    <w:rsid w:val="00337162"/>
    <w:rsid w:val="003408B6"/>
    <w:rsid w:val="0034194F"/>
    <w:rsid w:val="00344605"/>
    <w:rsid w:val="00346575"/>
    <w:rsid w:val="00346989"/>
    <w:rsid w:val="003474AA"/>
    <w:rsid w:val="00350D1D"/>
    <w:rsid w:val="00352C83"/>
    <w:rsid w:val="00356DB8"/>
    <w:rsid w:val="003615D2"/>
    <w:rsid w:val="00361D31"/>
    <w:rsid w:val="0036429C"/>
    <w:rsid w:val="00364A53"/>
    <w:rsid w:val="003654CB"/>
    <w:rsid w:val="00365770"/>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D53"/>
    <w:rsid w:val="003B1F18"/>
    <w:rsid w:val="003B5BF0"/>
    <w:rsid w:val="003B60BF"/>
    <w:rsid w:val="003B6BE3"/>
    <w:rsid w:val="003B7EE2"/>
    <w:rsid w:val="003C010C"/>
    <w:rsid w:val="003C0A6C"/>
    <w:rsid w:val="003C14F8"/>
    <w:rsid w:val="003C5A43"/>
    <w:rsid w:val="003D0519"/>
    <w:rsid w:val="003D0FF6"/>
    <w:rsid w:val="003D262C"/>
    <w:rsid w:val="003D3149"/>
    <w:rsid w:val="003D5E2B"/>
    <w:rsid w:val="003D5EAD"/>
    <w:rsid w:val="003D6D61"/>
    <w:rsid w:val="003D79C6"/>
    <w:rsid w:val="003E091D"/>
    <w:rsid w:val="003E1C53"/>
    <w:rsid w:val="003E2A69"/>
    <w:rsid w:val="003E2D49"/>
    <w:rsid w:val="003E2FD4"/>
    <w:rsid w:val="003E49F6"/>
    <w:rsid w:val="003E660F"/>
    <w:rsid w:val="003F0841"/>
    <w:rsid w:val="003F2204"/>
    <w:rsid w:val="003F23D3"/>
    <w:rsid w:val="003F3F08"/>
    <w:rsid w:val="003F49F1"/>
    <w:rsid w:val="003F6272"/>
    <w:rsid w:val="00400E72"/>
    <w:rsid w:val="00401400"/>
    <w:rsid w:val="00404869"/>
    <w:rsid w:val="00405884"/>
    <w:rsid w:val="00407D39"/>
    <w:rsid w:val="0041477A"/>
    <w:rsid w:val="004167A3"/>
    <w:rsid w:val="00421FBA"/>
    <w:rsid w:val="0043012B"/>
    <w:rsid w:val="00432DAA"/>
    <w:rsid w:val="00434305"/>
    <w:rsid w:val="00435DF7"/>
    <w:rsid w:val="0044083F"/>
    <w:rsid w:val="00441AE7"/>
    <w:rsid w:val="00444525"/>
    <w:rsid w:val="00445574"/>
    <w:rsid w:val="004467FB"/>
    <w:rsid w:val="00452D6B"/>
    <w:rsid w:val="00454484"/>
    <w:rsid w:val="0045517B"/>
    <w:rsid w:val="00463B77"/>
    <w:rsid w:val="00463C7B"/>
    <w:rsid w:val="004644A6"/>
    <w:rsid w:val="004659BD"/>
    <w:rsid w:val="00470775"/>
    <w:rsid w:val="00472893"/>
    <w:rsid w:val="004746B1"/>
    <w:rsid w:val="0047583F"/>
    <w:rsid w:val="00475DE8"/>
    <w:rsid w:val="00481ADB"/>
    <w:rsid w:val="00481C44"/>
    <w:rsid w:val="00484936"/>
    <w:rsid w:val="00485C89"/>
    <w:rsid w:val="00486BE3"/>
    <w:rsid w:val="004905E4"/>
    <w:rsid w:val="00490A89"/>
    <w:rsid w:val="00490AB4"/>
    <w:rsid w:val="00492F02"/>
    <w:rsid w:val="004939AE"/>
    <w:rsid w:val="004945F3"/>
    <w:rsid w:val="004A12DF"/>
    <w:rsid w:val="004A17E6"/>
    <w:rsid w:val="004A1BA8"/>
    <w:rsid w:val="004A27E3"/>
    <w:rsid w:val="004A4B57"/>
    <w:rsid w:val="004A63FA"/>
    <w:rsid w:val="004B0272"/>
    <w:rsid w:val="004B2701"/>
    <w:rsid w:val="004B2E1B"/>
    <w:rsid w:val="004B3AA8"/>
    <w:rsid w:val="004B3E93"/>
    <w:rsid w:val="004B7EC9"/>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4796"/>
    <w:rsid w:val="004F6456"/>
    <w:rsid w:val="004F696E"/>
    <w:rsid w:val="004F6C71"/>
    <w:rsid w:val="005009A6"/>
    <w:rsid w:val="00501139"/>
    <w:rsid w:val="0050363E"/>
    <w:rsid w:val="005039BC"/>
    <w:rsid w:val="005043BB"/>
    <w:rsid w:val="00504A3D"/>
    <w:rsid w:val="00505767"/>
    <w:rsid w:val="00505AD1"/>
    <w:rsid w:val="005073F0"/>
    <w:rsid w:val="00510A7B"/>
    <w:rsid w:val="00512F6E"/>
    <w:rsid w:val="00513038"/>
    <w:rsid w:val="00514174"/>
    <w:rsid w:val="00514431"/>
    <w:rsid w:val="00516088"/>
    <w:rsid w:val="00516B0B"/>
    <w:rsid w:val="00521F71"/>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3C12"/>
    <w:rsid w:val="005441CC"/>
    <w:rsid w:val="005479DA"/>
    <w:rsid w:val="00547BCC"/>
    <w:rsid w:val="0055013B"/>
    <w:rsid w:val="00551F6F"/>
    <w:rsid w:val="0055227D"/>
    <w:rsid w:val="00555044"/>
    <w:rsid w:val="00561475"/>
    <w:rsid w:val="0056487B"/>
    <w:rsid w:val="00564FB9"/>
    <w:rsid w:val="00571C5D"/>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3494"/>
    <w:rsid w:val="005A4A1B"/>
    <w:rsid w:val="005A7830"/>
    <w:rsid w:val="005A7FCE"/>
    <w:rsid w:val="005B0F3F"/>
    <w:rsid w:val="005B12AE"/>
    <w:rsid w:val="005B4903"/>
    <w:rsid w:val="005B51CE"/>
    <w:rsid w:val="005B5885"/>
    <w:rsid w:val="005B5CD7"/>
    <w:rsid w:val="005B6CF6"/>
    <w:rsid w:val="005B7422"/>
    <w:rsid w:val="005C29B8"/>
    <w:rsid w:val="005C2B23"/>
    <w:rsid w:val="005C5F21"/>
    <w:rsid w:val="005C7156"/>
    <w:rsid w:val="005D0C75"/>
    <w:rsid w:val="005D4171"/>
    <w:rsid w:val="005D4AC5"/>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6F0D"/>
    <w:rsid w:val="00617387"/>
    <w:rsid w:val="006205D6"/>
    <w:rsid w:val="00620FA0"/>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577A8"/>
    <w:rsid w:val="006640E5"/>
    <w:rsid w:val="006646F1"/>
    <w:rsid w:val="00664929"/>
    <w:rsid w:val="00664F62"/>
    <w:rsid w:val="006655E1"/>
    <w:rsid w:val="0067177B"/>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59A"/>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341"/>
    <w:rsid w:val="006F2ACA"/>
    <w:rsid w:val="006F2ADC"/>
    <w:rsid w:val="006F2BFE"/>
    <w:rsid w:val="006F31E9"/>
    <w:rsid w:val="006F5030"/>
    <w:rsid w:val="006F6284"/>
    <w:rsid w:val="007002C5"/>
    <w:rsid w:val="00704387"/>
    <w:rsid w:val="007073BC"/>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779"/>
    <w:rsid w:val="007439EB"/>
    <w:rsid w:val="00743CB4"/>
    <w:rsid w:val="00743F0A"/>
    <w:rsid w:val="007444E8"/>
    <w:rsid w:val="0074548E"/>
    <w:rsid w:val="00745773"/>
    <w:rsid w:val="00746800"/>
    <w:rsid w:val="007501A8"/>
    <w:rsid w:val="007504AD"/>
    <w:rsid w:val="00750847"/>
    <w:rsid w:val="00750D61"/>
    <w:rsid w:val="00750EE1"/>
    <w:rsid w:val="00752B4D"/>
    <w:rsid w:val="00755402"/>
    <w:rsid w:val="00756B26"/>
    <w:rsid w:val="00756EDF"/>
    <w:rsid w:val="007578DD"/>
    <w:rsid w:val="007600E3"/>
    <w:rsid w:val="007626D9"/>
    <w:rsid w:val="00763CBA"/>
    <w:rsid w:val="00765C43"/>
    <w:rsid w:val="00765EFB"/>
    <w:rsid w:val="007671CA"/>
    <w:rsid w:val="00767C61"/>
    <w:rsid w:val="0077008A"/>
    <w:rsid w:val="00773C1F"/>
    <w:rsid w:val="00774DA4"/>
    <w:rsid w:val="00776599"/>
    <w:rsid w:val="0078114B"/>
    <w:rsid w:val="00781DD2"/>
    <w:rsid w:val="00783ECF"/>
    <w:rsid w:val="0078413A"/>
    <w:rsid w:val="007919FB"/>
    <w:rsid w:val="007959E8"/>
    <w:rsid w:val="00795E9C"/>
    <w:rsid w:val="007A0521"/>
    <w:rsid w:val="007A2E12"/>
    <w:rsid w:val="007A3475"/>
    <w:rsid w:val="007A3B72"/>
    <w:rsid w:val="007A41C8"/>
    <w:rsid w:val="007A54CE"/>
    <w:rsid w:val="007A6FD9"/>
    <w:rsid w:val="007A7FFA"/>
    <w:rsid w:val="007B04EB"/>
    <w:rsid w:val="007B0D4F"/>
    <w:rsid w:val="007B5A3D"/>
    <w:rsid w:val="007B5B95"/>
    <w:rsid w:val="007B68EA"/>
    <w:rsid w:val="007B7453"/>
    <w:rsid w:val="007C1E8B"/>
    <w:rsid w:val="007C284F"/>
    <w:rsid w:val="007C2D89"/>
    <w:rsid w:val="007C4593"/>
    <w:rsid w:val="007C5309"/>
    <w:rsid w:val="007C6069"/>
    <w:rsid w:val="007D06C4"/>
    <w:rsid w:val="007D1352"/>
    <w:rsid w:val="007D2508"/>
    <w:rsid w:val="007D346A"/>
    <w:rsid w:val="007D6518"/>
    <w:rsid w:val="007D76BD"/>
    <w:rsid w:val="007E0BF1"/>
    <w:rsid w:val="007F0ED8"/>
    <w:rsid w:val="007F0F63"/>
    <w:rsid w:val="007F5B39"/>
    <w:rsid w:val="007F75CE"/>
    <w:rsid w:val="008013A4"/>
    <w:rsid w:val="008027CE"/>
    <w:rsid w:val="00802F42"/>
    <w:rsid w:val="00804383"/>
    <w:rsid w:val="00804BB7"/>
    <w:rsid w:val="00804D41"/>
    <w:rsid w:val="008054EA"/>
    <w:rsid w:val="00810257"/>
    <w:rsid w:val="008104F5"/>
    <w:rsid w:val="00811072"/>
    <w:rsid w:val="00811369"/>
    <w:rsid w:val="0081233B"/>
    <w:rsid w:val="00815419"/>
    <w:rsid w:val="008163C8"/>
    <w:rsid w:val="008164A1"/>
    <w:rsid w:val="00817325"/>
    <w:rsid w:val="008208DF"/>
    <w:rsid w:val="008209E6"/>
    <w:rsid w:val="0082181A"/>
    <w:rsid w:val="00823303"/>
    <w:rsid w:val="008233B2"/>
    <w:rsid w:val="00823A9F"/>
    <w:rsid w:val="00823C85"/>
    <w:rsid w:val="00825138"/>
    <w:rsid w:val="008269DD"/>
    <w:rsid w:val="00830621"/>
    <w:rsid w:val="0083348C"/>
    <w:rsid w:val="00834516"/>
    <w:rsid w:val="008373D3"/>
    <w:rsid w:val="00840617"/>
    <w:rsid w:val="00840F84"/>
    <w:rsid w:val="00842A47"/>
    <w:rsid w:val="00843C13"/>
    <w:rsid w:val="008454F8"/>
    <w:rsid w:val="0085173A"/>
    <w:rsid w:val="00856316"/>
    <w:rsid w:val="008603CE"/>
    <w:rsid w:val="00861417"/>
    <w:rsid w:val="008620FC"/>
    <w:rsid w:val="008627A5"/>
    <w:rsid w:val="00863E05"/>
    <w:rsid w:val="008652BD"/>
    <w:rsid w:val="00865ACA"/>
    <w:rsid w:val="00865D28"/>
    <w:rsid w:val="00865F85"/>
    <w:rsid w:val="00867C10"/>
    <w:rsid w:val="00870439"/>
    <w:rsid w:val="00870DA1"/>
    <w:rsid w:val="008714D7"/>
    <w:rsid w:val="00883F93"/>
    <w:rsid w:val="00884DB3"/>
    <w:rsid w:val="00885A9D"/>
    <w:rsid w:val="008864F6"/>
    <w:rsid w:val="0089049D"/>
    <w:rsid w:val="008928C9"/>
    <w:rsid w:val="008930CB"/>
    <w:rsid w:val="008938DC"/>
    <w:rsid w:val="00893FD1"/>
    <w:rsid w:val="00894836"/>
    <w:rsid w:val="00895172"/>
    <w:rsid w:val="00895680"/>
    <w:rsid w:val="008965ED"/>
    <w:rsid w:val="00896DFF"/>
    <w:rsid w:val="0089762C"/>
    <w:rsid w:val="008A1893"/>
    <w:rsid w:val="008A3215"/>
    <w:rsid w:val="008A3B5F"/>
    <w:rsid w:val="008A57E6"/>
    <w:rsid w:val="008A6F81"/>
    <w:rsid w:val="008A769A"/>
    <w:rsid w:val="008B0C9C"/>
    <w:rsid w:val="008B166D"/>
    <w:rsid w:val="008B17F4"/>
    <w:rsid w:val="008B3615"/>
    <w:rsid w:val="008B4AC4"/>
    <w:rsid w:val="008B50C8"/>
    <w:rsid w:val="008B5281"/>
    <w:rsid w:val="008B7E05"/>
    <w:rsid w:val="008C002F"/>
    <w:rsid w:val="008C1797"/>
    <w:rsid w:val="008C219C"/>
    <w:rsid w:val="008C22C0"/>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5EBA"/>
    <w:rsid w:val="008F70BD"/>
    <w:rsid w:val="008F788F"/>
    <w:rsid w:val="008F7EA2"/>
    <w:rsid w:val="00902722"/>
    <w:rsid w:val="009027BC"/>
    <w:rsid w:val="009062E6"/>
    <w:rsid w:val="00911BE5"/>
    <w:rsid w:val="00913CA9"/>
    <w:rsid w:val="009145AE"/>
    <w:rsid w:val="009146CE"/>
    <w:rsid w:val="00914CA7"/>
    <w:rsid w:val="00915C3E"/>
    <w:rsid w:val="009161A8"/>
    <w:rsid w:val="00917344"/>
    <w:rsid w:val="009245F5"/>
    <w:rsid w:val="009249EC"/>
    <w:rsid w:val="009273B3"/>
    <w:rsid w:val="00927B66"/>
    <w:rsid w:val="009305B5"/>
    <w:rsid w:val="009429D5"/>
    <w:rsid w:val="00942BF1"/>
    <w:rsid w:val="00945180"/>
    <w:rsid w:val="00945428"/>
    <w:rsid w:val="0094607B"/>
    <w:rsid w:val="00947268"/>
    <w:rsid w:val="00953604"/>
    <w:rsid w:val="0095496B"/>
    <w:rsid w:val="009610DC"/>
    <w:rsid w:val="00961490"/>
    <w:rsid w:val="0096381A"/>
    <w:rsid w:val="00965E04"/>
    <w:rsid w:val="009674AD"/>
    <w:rsid w:val="00970CDC"/>
    <w:rsid w:val="00977010"/>
    <w:rsid w:val="00977D02"/>
    <w:rsid w:val="009809BB"/>
    <w:rsid w:val="0098364B"/>
    <w:rsid w:val="0098586D"/>
    <w:rsid w:val="009911AF"/>
    <w:rsid w:val="00991875"/>
    <w:rsid w:val="00991F92"/>
    <w:rsid w:val="00992985"/>
    <w:rsid w:val="00993889"/>
    <w:rsid w:val="0099551B"/>
    <w:rsid w:val="00995F74"/>
    <w:rsid w:val="009962D5"/>
    <w:rsid w:val="00997BF1"/>
    <w:rsid w:val="009A089C"/>
    <w:rsid w:val="009A118E"/>
    <w:rsid w:val="009A1A20"/>
    <w:rsid w:val="009A21CD"/>
    <w:rsid w:val="009A278C"/>
    <w:rsid w:val="009A2BC2"/>
    <w:rsid w:val="009A42C1"/>
    <w:rsid w:val="009A5271"/>
    <w:rsid w:val="009A5429"/>
    <w:rsid w:val="009A72AD"/>
    <w:rsid w:val="009B09E0"/>
    <w:rsid w:val="009B0BC5"/>
    <w:rsid w:val="009B1247"/>
    <w:rsid w:val="009B46F9"/>
    <w:rsid w:val="009B6029"/>
    <w:rsid w:val="009B6971"/>
    <w:rsid w:val="009C27F1"/>
    <w:rsid w:val="009C3152"/>
    <w:rsid w:val="009C4CFA"/>
    <w:rsid w:val="009C5070"/>
    <w:rsid w:val="009D112C"/>
    <w:rsid w:val="009D2F0E"/>
    <w:rsid w:val="009D47FA"/>
    <w:rsid w:val="009D4C5B"/>
    <w:rsid w:val="009D50D2"/>
    <w:rsid w:val="009D6BCA"/>
    <w:rsid w:val="009E0F62"/>
    <w:rsid w:val="009E455C"/>
    <w:rsid w:val="009E4A58"/>
    <w:rsid w:val="009E5A2D"/>
    <w:rsid w:val="009E5AB2"/>
    <w:rsid w:val="009E6219"/>
    <w:rsid w:val="009F03B3"/>
    <w:rsid w:val="009F3CD7"/>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374F0"/>
    <w:rsid w:val="00A4006C"/>
    <w:rsid w:val="00A40091"/>
    <w:rsid w:val="00A4030F"/>
    <w:rsid w:val="00A41C79"/>
    <w:rsid w:val="00A41CB5"/>
    <w:rsid w:val="00A42CDF"/>
    <w:rsid w:val="00A4452E"/>
    <w:rsid w:val="00A4472C"/>
    <w:rsid w:val="00A44E69"/>
    <w:rsid w:val="00A4661E"/>
    <w:rsid w:val="00A538B6"/>
    <w:rsid w:val="00A55BD6"/>
    <w:rsid w:val="00A55D50"/>
    <w:rsid w:val="00A57142"/>
    <w:rsid w:val="00A57CA8"/>
    <w:rsid w:val="00A648A8"/>
    <w:rsid w:val="00A648CD"/>
    <w:rsid w:val="00A6537A"/>
    <w:rsid w:val="00A67866"/>
    <w:rsid w:val="00A70B07"/>
    <w:rsid w:val="00A723F8"/>
    <w:rsid w:val="00A76B31"/>
    <w:rsid w:val="00A77427"/>
    <w:rsid w:val="00A77CCB"/>
    <w:rsid w:val="00A83D8D"/>
    <w:rsid w:val="00A8446B"/>
    <w:rsid w:val="00A8473F"/>
    <w:rsid w:val="00A862D6"/>
    <w:rsid w:val="00A8715E"/>
    <w:rsid w:val="00A9295B"/>
    <w:rsid w:val="00A93B09"/>
    <w:rsid w:val="00A94247"/>
    <w:rsid w:val="00A95259"/>
    <w:rsid w:val="00A952D7"/>
    <w:rsid w:val="00A963F7"/>
    <w:rsid w:val="00A96AD8"/>
    <w:rsid w:val="00A97CE1"/>
    <w:rsid w:val="00AA0067"/>
    <w:rsid w:val="00AA052C"/>
    <w:rsid w:val="00AA1E45"/>
    <w:rsid w:val="00AA4286"/>
    <w:rsid w:val="00AA456B"/>
    <w:rsid w:val="00AA57F5"/>
    <w:rsid w:val="00AA672E"/>
    <w:rsid w:val="00AA6EC9"/>
    <w:rsid w:val="00AB2A14"/>
    <w:rsid w:val="00AB41D5"/>
    <w:rsid w:val="00AB6309"/>
    <w:rsid w:val="00AB6C5F"/>
    <w:rsid w:val="00AB7129"/>
    <w:rsid w:val="00AC27A6"/>
    <w:rsid w:val="00AC30F7"/>
    <w:rsid w:val="00AC3A5A"/>
    <w:rsid w:val="00AC4D95"/>
    <w:rsid w:val="00AC5DF4"/>
    <w:rsid w:val="00AD07D9"/>
    <w:rsid w:val="00AD0AEF"/>
    <w:rsid w:val="00AD11B7"/>
    <w:rsid w:val="00AD1A94"/>
    <w:rsid w:val="00AD1C05"/>
    <w:rsid w:val="00AD4126"/>
    <w:rsid w:val="00AD421C"/>
    <w:rsid w:val="00AD44FA"/>
    <w:rsid w:val="00AE070A"/>
    <w:rsid w:val="00AE101C"/>
    <w:rsid w:val="00AE37E5"/>
    <w:rsid w:val="00AE5EB4"/>
    <w:rsid w:val="00AE7B53"/>
    <w:rsid w:val="00AF0C18"/>
    <w:rsid w:val="00AF47C5"/>
    <w:rsid w:val="00AF4CDA"/>
    <w:rsid w:val="00AF5398"/>
    <w:rsid w:val="00B049AF"/>
    <w:rsid w:val="00B07242"/>
    <w:rsid w:val="00B072C0"/>
    <w:rsid w:val="00B10534"/>
    <w:rsid w:val="00B113DB"/>
    <w:rsid w:val="00B115E4"/>
    <w:rsid w:val="00B11D8A"/>
    <w:rsid w:val="00B122D8"/>
    <w:rsid w:val="00B12981"/>
    <w:rsid w:val="00B147DD"/>
    <w:rsid w:val="00B156FD"/>
    <w:rsid w:val="00B1660A"/>
    <w:rsid w:val="00B21F61"/>
    <w:rsid w:val="00B261F1"/>
    <w:rsid w:val="00B265BC"/>
    <w:rsid w:val="00B31FB1"/>
    <w:rsid w:val="00B33952"/>
    <w:rsid w:val="00B33C5E"/>
    <w:rsid w:val="00B342F4"/>
    <w:rsid w:val="00B34369"/>
    <w:rsid w:val="00B34DC2"/>
    <w:rsid w:val="00B378E5"/>
    <w:rsid w:val="00B37B74"/>
    <w:rsid w:val="00B4346D"/>
    <w:rsid w:val="00B440F4"/>
    <w:rsid w:val="00B447A5"/>
    <w:rsid w:val="00B448E7"/>
    <w:rsid w:val="00B4654C"/>
    <w:rsid w:val="00B46AF0"/>
    <w:rsid w:val="00B47293"/>
    <w:rsid w:val="00B50658"/>
    <w:rsid w:val="00B50E50"/>
    <w:rsid w:val="00B52120"/>
    <w:rsid w:val="00B54ABC"/>
    <w:rsid w:val="00B54DDE"/>
    <w:rsid w:val="00B55C35"/>
    <w:rsid w:val="00B55F66"/>
    <w:rsid w:val="00B56FBE"/>
    <w:rsid w:val="00B60ACF"/>
    <w:rsid w:val="00B62B58"/>
    <w:rsid w:val="00B65149"/>
    <w:rsid w:val="00B66567"/>
    <w:rsid w:val="00B66F52"/>
    <w:rsid w:val="00B66FE5"/>
    <w:rsid w:val="00B70DA0"/>
    <w:rsid w:val="00B72880"/>
    <w:rsid w:val="00B758BF"/>
    <w:rsid w:val="00B77EC8"/>
    <w:rsid w:val="00B80D44"/>
    <w:rsid w:val="00B827A6"/>
    <w:rsid w:val="00B831CE"/>
    <w:rsid w:val="00B86677"/>
    <w:rsid w:val="00B87131"/>
    <w:rsid w:val="00B939B1"/>
    <w:rsid w:val="00B96D40"/>
    <w:rsid w:val="00B97386"/>
    <w:rsid w:val="00BA0690"/>
    <w:rsid w:val="00BA263B"/>
    <w:rsid w:val="00BA337A"/>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2CED"/>
    <w:rsid w:val="00BE5B52"/>
    <w:rsid w:val="00BE7B8D"/>
    <w:rsid w:val="00BF0993"/>
    <w:rsid w:val="00BF10A9"/>
    <w:rsid w:val="00BF132B"/>
    <w:rsid w:val="00BF1703"/>
    <w:rsid w:val="00BF1EED"/>
    <w:rsid w:val="00BF231C"/>
    <w:rsid w:val="00BF2A37"/>
    <w:rsid w:val="00BF51E5"/>
    <w:rsid w:val="00BF74A6"/>
    <w:rsid w:val="00C013AD"/>
    <w:rsid w:val="00C04904"/>
    <w:rsid w:val="00C056B3"/>
    <w:rsid w:val="00C07AE1"/>
    <w:rsid w:val="00C103E5"/>
    <w:rsid w:val="00C13319"/>
    <w:rsid w:val="00C13EE9"/>
    <w:rsid w:val="00C14E7E"/>
    <w:rsid w:val="00C175D3"/>
    <w:rsid w:val="00C21540"/>
    <w:rsid w:val="00C21906"/>
    <w:rsid w:val="00C21BFA"/>
    <w:rsid w:val="00C22148"/>
    <w:rsid w:val="00C24C8D"/>
    <w:rsid w:val="00C25FE2"/>
    <w:rsid w:val="00C26B53"/>
    <w:rsid w:val="00C279B2"/>
    <w:rsid w:val="00C33E50"/>
    <w:rsid w:val="00C34C20"/>
    <w:rsid w:val="00C35A3E"/>
    <w:rsid w:val="00C36BA3"/>
    <w:rsid w:val="00C42130"/>
    <w:rsid w:val="00C423A4"/>
    <w:rsid w:val="00C44BF5"/>
    <w:rsid w:val="00C52072"/>
    <w:rsid w:val="00C521D6"/>
    <w:rsid w:val="00C54471"/>
    <w:rsid w:val="00C55232"/>
    <w:rsid w:val="00C553A4"/>
    <w:rsid w:val="00C55A06"/>
    <w:rsid w:val="00C55D03"/>
    <w:rsid w:val="00C601BC"/>
    <w:rsid w:val="00C61488"/>
    <w:rsid w:val="00C6329F"/>
    <w:rsid w:val="00C63340"/>
    <w:rsid w:val="00C643F9"/>
    <w:rsid w:val="00C64E95"/>
    <w:rsid w:val="00C71372"/>
    <w:rsid w:val="00C72410"/>
    <w:rsid w:val="00C7287F"/>
    <w:rsid w:val="00C72EC8"/>
    <w:rsid w:val="00C74C20"/>
    <w:rsid w:val="00C75EF6"/>
    <w:rsid w:val="00C76C72"/>
    <w:rsid w:val="00C80982"/>
    <w:rsid w:val="00C80CB8"/>
    <w:rsid w:val="00C819F8"/>
    <w:rsid w:val="00C8248C"/>
    <w:rsid w:val="00C84E33"/>
    <w:rsid w:val="00C86D6F"/>
    <w:rsid w:val="00C905FC"/>
    <w:rsid w:val="00C91FC7"/>
    <w:rsid w:val="00C92D03"/>
    <w:rsid w:val="00C9319C"/>
    <w:rsid w:val="00C9435D"/>
    <w:rsid w:val="00C94DF2"/>
    <w:rsid w:val="00C9592B"/>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009A"/>
    <w:rsid w:val="00CD2808"/>
    <w:rsid w:val="00CD28BF"/>
    <w:rsid w:val="00CD4092"/>
    <w:rsid w:val="00CD4A20"/>
    <w:rsid w:val="00CD50A1"/>
    <w:rsid w:val="00CD519E"/>
    <w:rsid w:val="00CD561D"/>
    <w:rsid w:val="00CE0714"/>
    <w:rsid w:val="00CE0C4F"/>
    <w:rsid w:val="00CE25E0"/>
    <w:rsid w:val="00CE30EA"/>
    <w:rsid w:val="00CF048A"/>
    <w:rsid w:val="00CF155A"/>
    <w:rsid w:val="00CF2947"/>
    <w:rsid w:val="00CF686F"/>
    <w:rsid w:val="00CF69B6"/>
    <w:rsid w:val="00CF6E60"/>
    <w:rsid w:val="00CF7BCA"/>
    <w:rsid w:val="00D008FD"/>
    <w:rsid w:val="00D00ED7"/>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405F"/>
    <w:rsid w:val="00D352A2"/>
    <w:rsid w:val="00D35B57"/>
    <w:rsid w:val="00D3660F"/>
    <w:rsid w:val="00D4162B"/>
    <w:rsid w:val="00D4514F"/>
    <w:rsid w:val="00D451E2"/>
    <w:rsid w:val="00D45E89"/>
    <w:rsid w:val="00D45E8D"/>
    <w:rsid w:val="00D466AE"/>
    <w:rsid w:val="00D4734F"/>
    <w:rsid w:val="00D51BF3"/>
    <w:rsid w:val="00D617F9"/>
    <w:rsid w:val="00D63152"/>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2CC9"/>
    <w:rsid w:val="00DC3067"/>
    <w:rsid w:val="00DC370B"/>
    <w:rsid w:val="00DC5B90"/>
    <w:rsid w:val="00DD00FF"/>
    <w:rsid w:val="00DD0619"/>
    <w:rsid w:val="00DD07FB"/>
    <w:rsid w:val="00DD25C6"/>
    <w:rsid w:val="00DD4FE5"/>
    <w:rsid w:val="00DD54B0"/>
    <w:rsid w:val="00DD57EE"/>
    <w:rsid w:val="00DD6BCC"/>
    <w:rsid w:val="00DE0390"/>
    <w:rsid w:val="00DE0A4B"/>
    <w:rsid w:val="00DE2410"/>
    <w:rsid w:val="00DE2939"/>
    <w:rsid w:val="00DE6E81"/>
    <w:rsid w:val="00DE703F"/>
    <w:rsid w:val="00DE7595"/>
    <w:rsid w:val="00DE7871"/>
    <w:rsid w:val="00DF125A"/>
    <w:rsid w:val="00DF1961"/>
    <w:rsid w:val="00DF2753"/>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C7"/>
    <w:rsid w:val="00E364F9"/>
    <w:rsid w:val="00E365FA"/>
    <w:rsid w:val="00E36789"/>
    <w:rsid w:val="00E42F23"/>
    <w:rsid w:val="00E44A83"/>
    <w:rsid w:val="00E502C1"/>
    <w:rsid w:val="00E502DD"/>
    <w:rsid w:val="00E50D3A"/>
    <w:rsid w:val="00E51387"/>
    <w:rsid w:val="00E51E68"/>
    <w:rsid w:val="00E52EFD"/>
    <w:rsid w:val="00E5408A"/>
    <w:rsid w:val="00E56800"/>
    <w:rsid w:val="00E60327"/>
    <w:rsid w:val="00E60C63"/>
    <w:rsid w:val="00E60C96"/>
    <w:rsid w:val="00E62979"/>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055A"/>
    <w:rsid w:val="00EA58D1"/>
    <w:rsid w:val="00EA61BC"/>
    <w:rsid w:val="00EA681A"/>
    <w:rsid w:val="00EA6899"/>
    <w:rsid w:val="00EA735B"/>
    <w:rsid w:val="00EB17DE"/>
    <w:rsid w:val="00EB1E69"/>
    <w:rsid w:val="00EB2086"/>
    <w:rsid w:val="00EB22DD"/>
    <w:rsid w:val="00EB47A1"/>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4403"/>
    <w:rsid w:val="00EF5F71"/>
    <w:rsid w:val="00EF7E72"/>
    <w:rsid w:val="00F06D37"/>
    <w:rsid w:val="00F07B9D"/>
    <w:rsid w:val="00F11586"/>
    <w:rsid w:val="00F1183B"/>
    <w:rsid w:val="00F11C9F"/>
    <w:rsid w:val="00F12263"/>
    <w:rsid w:val="00F1409D"/>
    <w:rsid w:val="00F14214"/>
    <w:rsid w:val="00F157A9"/>
    <w:rsid w:val="00F2588B"/>
    <w:rsid w:val="00F25BB6"/>
    <w:rsid w:val="00F26741"/>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286E"/>
    <w:rsid w:val="00F6412A"/>
    <w:rsid w:val="00F65893"/>
    <w:rsid w:val="00F65FF1"/>
    <w:rsid w:val="00F66216"/>
    <w:rsid w:val="00F66A4A"/>
    <w:rsid w:val="00F71D3F"/>
    <w:rsid w:val="00F71E22"/>
    <w:rsid w:val="00F72142"/>
    <w:rsid w:val="00F72AE7"/>
    <w:rsid w:val="00F81141"/>
    <w:rsid w:val="00F81F7F"/>
    <w:rsid w:val="00F833BA"/>
    <w:rsid w:val="00F84D56"/>
    <w:rsid w:val="00F84FD0"/>
    <w:rsid w:val="00F859A8"/>
    <w:rsid w:val="00F86D87"/>
    <w:rsid w:val="00F9108B"/>
    <w:rsid w:val="00F91349"/>
    <w:rsid w:val="00F93A8A"/>
    <w:rsid w:val="00F95248"/>
    <w:rsid w:val="00F956A9"/>
    <w:rsid w:val="00F963ED"/>
    <w:rsid w:val="00F966CF"/>
    <w:rsid w:val="00F96CAE"/>
    <w:rsid w:val="00F97C99"/>
    <w:rsid w:val="00FA11C7"/>
    <w:rsid w:val="00FA4DAC"/>
    <w:rsid w:val="00FA662D"/>
    <w:rsid w:val="00FA73B1"/>
    <w:rsid w:val="00FB03D2"/>
    <w:rsid w:val="00FB0CB9"/>
    <w:rsid w:val="00FB231D"/>
    <w:rsid w:val="00FB45F1"/>
    <w:rsid w:val="00FB4A72"/>
    <w:rsid w:val="00FB54E8"/>
    <w:rsid w:val="00FB7054"/>
    <w:rsid w:val="00FC17B7"/>
    <w:rsid w:val="00FC2CB7"/>
    <w:rsid w:val="00FC4090"/>
    <w:rsid w:val="00FC55B4"/>
    <w:rsid w:val="00FC68DD"/>
    <w:rsid w:val="00FD00E6"/>
    <w:rsid w:val="00FD09A1"/>
    <w:rsid w:val="00FD2A7C"/>
    <w:rsid w:val="00FD59EB"/>
    <w:rsid w:val="00FD7299"/>
    <w:rsid w:val="00FE0668"/>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4E43DB"/>
  <w15:docId w15:val="{74BDB1F2-74BE-4AEC-B1B2-BCBA9EA67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0"/>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B46F9"/>
    <w:pPr>
      <w:keepNext/>
      <w:keepLines/>
      <w:spacing w:before="260" w:after="260" w:line="416" w:lineRule="auto"/>
      <w:outlineLvl w:val="2"/>
    </w:pPr>
    <w:rPr>
      <w:b/>
      <w:bCs/>
      <w:sz w:val="32"/>
      <w:szCs w:val="32"/>
    </w:rPr>
  </w:style>
  <w:style w:type="paragraph" w:styleId="4">
    <w:name w:val="heading 4"/>
    <w:basedOn w:val="afff5"/>
    <w:next w:val="afff5"/>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9">
    <w:name w:val="header"/>
    <w:basedOn w:val="afff5"/>
    <w:link w:val="afffa"/>
    <w:uiPriority w:val="99"/>
    <w:rsid w:val="009B46F9"/>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B46F9"/>
    <w:rPr>
      <w:kern w:val="2"/>
      <w:sz w:val="18"/>
      <w:szCs w:val="18"/>
    </w:rPr>
  </w:style>
  <w:style w:type="paragraph" w:styleId="afffb">
    <w:name w:val="footer"/>
    <w:basedOn w:val="afff5"/>
    <w:link w:val="afffc"/>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B46F9"/>
    <w:rPr>
      <w:rFonts w:ascii="宋体"/>
      <w:kern w:val="2"/>
      <w:sz w:val="18"/>
      <w:szCs w:val="18"/>
    </w:rPr>
  </w:style>
  <w:style w:type="paragraph" w:styleId="afffd">
    <w:name w:val="Balloon Text"/>
    <w:basedOn w:val="afff5"/>
    <w:link w:val="afffe"/>
    <w:uiPriority w:val="99"/>
    <w:semiHidden/>
    <w:unhideWhenUsed/>
    <w:rsid w:val="009B46F9"/>
    <w:rPr>
      <w:sz w:val="18"/>
      <w:szCs w:val="18"/>
    </w:rPr>
  </w:style>
  <w:style w:type="character" w:customStyle="1" w:styleId="afffe">
    <w:name w:val="批注框文本 字符"/>
    <w:link w:val="afffd"/>
    <w:uiPriority w:val="99"/>
    <w:semiHidden/>
    <w:rsid w:val="009B46F9"/>
    <w:rPr>
      <w:kern w:val="2"/>
      <w:sz w:val="18"/>
      <w:szCs w:val="18"/>
    </w:rPr>
  </w:style>
  <w:style w:type="paragraph" w:styleId="affff">
    <w:name w:val="Quote"/>
    <w:basedOn w:val="afff5"/>
    <w:next w:val="afff5"/>
    <w:link w:val="affff0"/>
    <w:uiPriority w:val="29"/>
    <w:qFormat/>
    <w:rsid w:val="009B46F9"/>
    <w:rPr>
      <w:i/>
      <w:iCs/>
      <w:color w:val="000000"/>
    </w:rPr>
  </w:style>
  <w:style w:type="character" w:customStyle="1" w:styleId="affff0">
    <w:name w:val="引用 字符"/>
    <w:link w:val="affff"/>
    <w:uiPriority w:val="29"/>
    <w:rsid w:val="009B46F9"/>
    <w:rPr>
      <w:i/>
      <w:iCs/>
      <w:color w:val="000000"/>
      <w:kern w:val="2"/>
      <w:sz w:val="21"/>
      <w:szCs w:val="21"/>
    </w:rPr>
  </w:style>
  <w:style w:type="character" w:styleId="affff1">
    <w:name w:val="Strong"/>
    <w:uiPriority w:val="22"/>
    <w:qFormat/>
    <w:rsid w:val="009B46F9"/>
    <w:rPr>
      <w:b/>
      <w:bCs/>
    </w:rPr>
  </w:style>
  <w:style w:type="character" w:styleId="affff2">
    <w:name w:val="Emphasis"/>
    <w:uiPriority w:val="20"/>
    <w:qFormat/>
    <w:rsid w:val="009B46F9"/>
    <w:rPr>
      <w:i/>
      <w:iCs/>
    </w:rPr>
  </w:style>
  <w:style w:type="paragraph" w:styleId="affff3">
    <w:name w:val="Title"/>
    <w:basedOn w:val="afff5"/>
    <w:link w:val="affff4"/>
    <w:qFormat/>
    <w:rsid w:val="009B46F9"/>
    <w:pPr>
      <w:spacing w:before="240" w:after="60"/>
      <w:jc w:val="center"/>
      <w:outlineLvl w:val="0"/>
    </w:pPr>
    <w:rPr>
      <w:rFonts w:ascii="Arial" w:hAnsi="Arial" w:cs="Arial"/>
      <w:b/>
      <w:bCs/>
      <w:sz w:val="32"/>
      <w:szCs w:val="32"/>
    </w:rPr>
  </w:style>
  <w:style w:type="character" w:customStyle="1" w:styleId="affff4">
    <w:name w:val="标题 字符"/>
    <w:link w:val="affff3"/>
    <w:rsid w:val="009B46F9"/>
    <w:rPr>
      <w:rFonts w:ascii="Arial" w:hAnsi="Arial" w:cs="Arial"/>
      <w:b/>
      <w:bCs/>
      <w:kern w:val="2"/>
      <w:sz w:val="32"/>
      <w:szCs w:val="32"/>
    </w:rPr>
  </w:style>
  <w:style w:type="paragraph" w:customStyle="1" w:styleId="affff5">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B46F9"/>
    <w:pPr>
      <w:ind w:left="198"/>
    </w:pPr>
    <w:rPr>
      <w:rFonts w:ascii="宋体" w:hAnsi="Times New Roman"/>
      <w:sz w:val="18"/>
    </w:rPr>
  </w:style>
  <w:style w:type="paragraph" w:customStyle="1" w:styleId="affff8">
    <w:name w:val="标准文件_页脚奇数页"/>
    <w:rsid w:val="009B46F9"/>
    <w:pPr>
      <w:ind w:right="227"/>
      <w:jc w:val="right"/>
    </w:pPr>
    <w:rPr>
      <w:rFonts w:ascii="宋体" w:hAnsi="Times New Roman"/>
      <w:sz w:val="18"/>
    </w:rPr>
  </w:style>
  <w:style w:type="paragraph" w:customStyle="1" w:styleId="affff9">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a">
    <w:name w:val="标准文件_标准正文"/>
    <w:basedOn w:val="afff5"/>
    <w:next w:val="affffb"/>
    <w:rsid w:val="009B46F9"/>
    <w:pPr>
      <w:snapToGrid w:val="0"/>
      <w:ind w:firstLineChars="200" w:firstLine="200"/>
    </w:pPr>
    <w:rPr>
      <w:kern w:val="0"/>
    </w:rPr>
  </w:style>
  <w:style w:type="paragraph" w:customStyle="1" w:styleId="affffc">
    <w:name w:val="标准文件_版本"/>
    <w:basedOn w:val="affffa"/>
    <w:rsid w:val="009B46F9"/>
    <w:pPr>
      <w:adjustRightInd/>
      <w:snapToGrid/>
      <w:ind w:firstLineChars="0" w:firstLine="0"/>
    </w:pPr>
    <w:rPr>
      <w:rFonts w:ascii="宋体" w:hAnsi="宋体"/>
      <w:kern w:val="2"/>
    </w:rPr>
  </w:style>
  <w:style w:type="paragraph" w:customStyle="1" w:styleId="affffd">
    <w:name w:val="标准文件_标准部门"/>
    <w:basedOn w:val="afff5"/>
    <w:rsid w:val="009B46F9"/>
    <w:pPr>
      <w:jc w:val="center"/>
    </w:pPr>
    <w:rPr>
      <w:rFonts w:ascii="黑体" w:eastAsia="黑体"/>
      <w:kern w:val="0"/>
      <w:sz w:val="44"/>
    </w:rPr>
  </w:style>
  <w:style w:type="paragraph" w:customStyle="1" w:styleId="affffe">
    <w:name w:val="标准文件_标准代替"/>
    <w:basedOn w:val="afff5"/>
    <w:next w:val="afff5"/>
    <w:rsid w:val="009B46F9"/>
    <w:pPr>
      <w:spacing w:line="310" w:lineRule="exact"/>
      <w:jc w:val="right"/>
    </w:pPr>
    <w:rPr>
      <w:rFonts w:ascii="宋体" w:hAnsi="宋体"/>
      <w:kern w:val="0"/>
    </w:rPr>
  </w:style>
  <w:style w:type="paragraph" w:customStyle="1" w:styleId="afffff">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B46F9"/>
    <w:pPr>
      <w:jc w:val="left"/>
    </w:pPr>
  </w:style>
  <w:style w:type="paragraph" w:customStyle="1" w:styleId="afffff2">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b">
    <w:name w:val="标准文件_段"/>
    <w:link w:val="Char"/>
    <w:qFormat/>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qFormat/>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9B46F9"/>
    <w:rPr>
      <w:rFonts w:ascii="黑体" w:eastAsia="黑体"/>
      <w:spacing w:val="0"/>
      <w:w w:val="100"/>
      <w:position w:val="3"/>
      <w:sz w:val="28"/>
    </w:rPr>
  </w:style>
  <w:style w:type="paragraph" w:customStyle="1" w:styleId="ad">
    <w:name w:val="标准文件_方框数字列项"/>
    <w:basedOn w:val="affffb"/>
    <w:rsid w:val="009B46F9"/>
    <w:pPr>
      <w:numPr>
        <w:numId w:val="3"/>
      </w:numPr>
      <w:ind w:firstLineChars="0" w:firstLine="0"/>
    </w:pPr>
  </w:style>
  <w:style w:type="paragraph" w:customStyle="1" w:styleId="afffff4">
    <w:name w:val="标准文件_封面标准编号"/>
    <w:basedOn w:val="afff5"/>
    <w:next w:val="affffe"/>
    <w:rsid w:val="009B46F9"/>
    <w:pPr>
      <w:spacing w:line="310" w:lineRule="exact"/>
      <w:jc w:val="right"/>
    </w:pPr>
    <w:rPr>
      <w:rFonts w:ascii="黑体" w:eastAsia="黑体"/>
      <w:kern w:val="0"/>
      <w:sz w:val="28"/>
    </w:rPr>
  </w:style>
  <w:style w:type="paragraph" w:customStyle="1" w:styleId="afffff5">
    <w:name w:val="标准文件_封面标准分类号"/>
    <w:basedOn w:val="afff5"/>
    <w:rsid w:val="009B46F9"/>
    <w:rPr>
      <w:rFonts w:ascii="黑体" w:eastAsia="黑体"/>
      <w:b/>
      <w:kern w:val="0"/>
      <w:sz w:val="28"/>
    </w:rPr>
  </w:style>
  <w:style w:type="paragraph" w:customStyle="1" w:styleId="afffff6">
    <w:name w:val="标准文件_封面标准名称"/>
    <w:basedOn w:val="afff5"/>
    <w:rsid w:val="009B46F9"/>
    <w:pPr>
      <w:spacing w:line="240" w:lineRule="auto"/>
      <w:jc w:val="center"/>
    </w:pPr>
    <w:rPr>
      <w:rFonts w:ascii="黑体" w:eastAsia="黑体"/>
      <w:kern w:val="0"/>
      <w:sz w:val="52"/>
    </w:rPr>
  </w:style>
  <w:style w:type="paragraph" w:customStyle="1" w:styleId="afffff7">
    <w:name w:val="标准文件_封面标准英文名称"/>
    <w:basedOn w:val="afff5"/>
    <w:rsid w:val="009B46F9"/>
    <w:pPr>
      <w:spacing w:line="240" w:lineRule="auto"/>
      <w:jc w:val="center"/>
    </w:pPr>
    <w:rPr>
      <w:rFonts w:ascii="黑体" w:eastAsia="黑体"/>
      <w:b/>
      <w:sz w:val="28"/>
    </w:rPr>
  </w:style>
  <w:style w:type="paragraph" w:customStyle="1" w:styleId="afffff8">
    <w:name w:val="标准文件_封面发布日期"/>
    <w:basedOn w:val="afff5"/>
    <w:rsid w:val="009B46F9"/>
    <w:pPr>
      <w:spacing w:line="310" w:lineRule="exact"/>
    </w:pPr>
    <w:rPr>
      <w:rFonts w:ascii="黑体" w:eastAsia="黑体"/>
      <w:kern w:val="0"/>
      <w:sz w:val="28"/>
    </w:rPr>
  </w:style>
  <w:style w:type="paragraph" w:customStyle="1" w:styleId="afffff9">
    <w:name w:val="标准文件_封面密级"/>
    <w:basedOn w:val="afff5"/>
    <w:rsid w:val="009B46F9"/>
    <w:rPr>
      <w:rFonts w:eastAsia="黑体"/>
      <w:sz w:val="32"/>
    </w:rPr>
  </w:style>
  <w:style w:type="paragraph" w:customStyle="1" w:styleId="afffffa">
    <w:name w:val="标准文件_封面实施日期"/>
    <w:basedOn w:val="afff5"/>
    <w:rsid w:val="009B46F9"/>
    <w:pPr>
      <w:spacing w:line="310" w:lineRule="exact"/>
      <w:jc w:val="right"/>
    </w:pPr>
    <w:rPr>
      <w:rFonts w:ascii="黑体" w:eastAsia="黑体"/>
      <w:sz w:val="28"/>
    </w:rPr>
  </w:style>
  <w:style w:type="paragraph" w:customStyle="1" w:styleId="afffffb">
    <w:name w:val="标准文件_封面抬头"/>
    <w:basedOn w:val="affffb"/>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9B46F9"/>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9B46F9"/>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B46F9"/>
    <w:pPr>
      <w:spacing w:after="120"/>
    </w:pPr>
  </w:style>
  <w:style w:type="character" w:customStyle="1" w:styleId="afffffe">
    <w:name w:val="正文文本 字符"/>
    <w:link w:val="afffffd"/>
    <w:rsid w:val="009B46F9"/>
    <w:rPr>
      <w:kern w:val="2"/>
      <w:sz w:val="21"/>
      <w:szCs w:val="21"/>
    </w:rPr>
  </w:style>
  <w:style w:type="paragraph" w:customStyle="1" w:styleId="affffff">
    <w:name w:val="标准文件_附录章标题"/>
    <w:next w:val="affffb"/>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9B46F9"/>
    <w:pPr>
      <w:spacing w:line="460" w:lineRule="exact"/>
      <w:ind w:left="0" w:firstLine="0"/>
    </w:pPr>
  </w:style>
  <w:style w:type="paragraph" w:customStyle="1" w:styleId="affffff2">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b"/>
    <w:qFormat/>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b"/>
    <w:qFormat/>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B46F9"/>
    <w:rPr>
      <w:rFonts w:ascii="宋体"/>
      <w:kern w:val="2"/>
      <w:sz w:val="18"/>
      <w:szCs w:val="18"/>
    </w:rPr>
  </w:style>
  <w:style w:type="paragraph" w:customStyle="1" w:styleId="affffff7">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B46F9"/>
    <w:pPr>
      <w:numPr>
        <w:numId w:val="14"/>
      </w:numPr>
      <w:spacing w:line="240" w:lineRule="auto"/>
      <w:jc w:val="left"/>
    </w:pPr>
    <w:rPr>
      <w:rFonts w:ascii="宋体" w:hAnsi="宋体"/>
      <w:sz w:val="18"/>
    </w:rPr>
  </w:style>
  <w:style w:type="character" w:styleId="affffff8">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9">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b"/>
    <w:qFormat/>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qFormat/>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qFormat/>
    <w:rsid w:val="009B46F9"/>
    <w:pPr>
      <w:numPr>
        <w:ilvl w:val="2"/>
      </w:numPr>
      <w:spacing w:beforeLines="50" w:before="50" w:afterLines="50" w:after="50"/>
      <w:outlineLvl w:val="1"/>
    </w:pPr>
  </w:style>
  <w:style w:type="paragraph" w:customStyle="1" w:styleId="affffffa">
    <w:name w:val="标准文件_一致程度"/>
    <w:basedOn w:val="afff5"/>
    <w:rsid w:val="009B46F9"/>
    <w:pPr>
      <w:spacing w:line="440" w:lineRule="exact"/>
      <w:jc w:val="center"/>
    </w:pPr>
    <w:rPr>
      <w:sz w:val="28"/>
    </w:rPr>
  </w:style>
  <w:style w:type="paragraph" w:customStyle="1" w:styleId="affffffb">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b"/>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qFormat/>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b"/>
    <w:qFormat/>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9B46F9"/>
    <w:pPr>
      <w:numPr>
        <w:numId w:val="23"/>
      </w:numPr>
      <w:jc w:val="center"/>
    </w:pPr>
    <w:rPr>
      <w:rFonts w:ascii="黑体" w:eastAsia="黑体" w:hAnsi="Times New Roman"/>
      <w:sz w:val="21"/>
    </w:rPr>
  </w:style>
  <w:style w:type="paragraph" w:customStyle="1" w:styleId="afb">
    <w:name w:val="标准文件_正文英文图标题"/>
    <w:next w:val="affffb"/>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e">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f">
    <w:name w:val="发布部门"/>
    <w:next w:val="affffb"/>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B46F9"/>
    <w:pPr>
      <w:spacing w:before="180" w:line="180" w:lineRule="exact"/>
      <w:jc w:val="center"/>
    </w:pPr>
    <w:rPr>
      <w:rFonts w:ascii="宋体" w:hAnsi="Times New Roman"/>
      <w:sz w:val="21"/>
    </w:rPr>
  </w:style>
  <w:style w:type="paragraph" w:customStyle="1" w:styleId="afffffff4">
    <w:name w:val="封面标准文稿类别"/>
    <w:rsid w:val="009B46F9"/>
    <w:pPr>
      <w:spacing w:before="440" w:line="400" w:lineRule="exact"/>
      <w:jc w:val="center"/>
    </w:pPr>
    <w:rPr>
      <w:rFonts w:ascii="宋体" w:hAnsi="Times New Roman"/>
      <w:sz w:val="24"/>
    </w:rPr>
  </w:style>
  <w:style w:type="paragraph" w:customStyle="1" w:styleId="afffffff5">
    <w:name w:val="封面标准英文名称"/>
    <w:rsid w:val="009B46F9"/>
    <w:pPr>
      <w:widowControl w:val="0"/>
      <w:spacing w:line="360" w:lineRule="exact"/>
      <w:jc w:val="center"/>
    </w:pPr>
    <w:rPr>
      <w:rFonts w:ascii="Times New Roman" w:hAnsi="Times New Roman"/>
      <w:sz w:val="28"/>
    </w:rPr>
  </w:style>
  <w:style w:type="paragraph" w:customStyle="1" w:styleId="afffffff6">
    <w:name w:val="封面一致性程度标识"/>
    <w:rsid w:val="009B46F9"/>
    <w:pPr>
      <w:spacing w:before="440" w:line="440" w:lineRule="exact"/>
      <w:jc w:val="center"/>
    </w:pPr>
    <w:rPr>
      <w:rFonts w:ascii="Times New Roman" w:hAnsi="Times New Roman"/>
      <w:sz w:val="28"/>
    </w:rPr>
  </w:style>
  <w:style w:type="paragraph" w:customStyle="1" w:styleId="afffffff7">
    <w:name w:val="封面正文"/>
    <w:rsid w:val="009B46F9"/>
    <w:pPr>
      <w:jc w:val="both"/>
    </w:pPr>
    <w:rPr>
      <w:rFonts w:ascii="Times New Roman" w:hAnsi="Times New Roman"/>
    </w:rPr>
  </w:style>
  <w:style w:type="paragraph" w:customStyle="1" w:styleId="afffffff8">
    <w:name w:val="附录二级无标题条"/>
    <w:basedOn w:val="afff5"/>
    <w:next w:val="affffb"/>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B46F9"/>
    <w:pPr>
      <w:outlineLvl w:val="4"/>
    </w:pPr>
  </w:style>
  <w:style w:type="paragraph" w:customStyle="1" w:styleId="afffffffa">
    <w:name w:val="附录四级无标题条"/>
    <w:basedOn w:val="afffffff9"/>
    <w:next w:val="affffb"/>
    <w:rsid w:val="009B46F9"/>
    <w:pPr>
      <w:outlineLvl w:val="5"/>
    </w:pPr>
  </w:style>
  <w:style w:type="paragraph" w:customStyle="1" w:styleId="afffffffb">
    <w:name w:val="附录图"/>
    <w:next w:val="affffb"/>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c">
    <w:name w:val="附录五级无标题条"/>
    <w:basedOn w:val="afffffffa"/>
    <w:next w:val="affffb"/>
    <w:rsid w:val="009B46F9"/>
    <w:pPr>
      <w:outlineLvl w:val="6"/>
    </w:pPr>
  </w:style>
  <w:style w:type="paragraph" w:customStyle="1" w:styleId="afffffffd">
    <w:name w:val="附录性质"/>
    <w:basedOn w:val="afff5"/>
    <w:rsid w:val="009B46F9"/>
    <w:pPr>
      <w:widowControl/>
      <w:adjustRightInd/>
      <w:jc w:val="center"/>
    </w:pPr>
    <w:rPr>
      <w:rFonts w:ascii="黑体" w:eastAsia="黑体"/>
    </w:rPr>
  </w:style>
  <w:style w:type="paragraph" w:customStyle="1" w:styleId="afffffffe">
    <w:name w:val="附录一级无标题条"/>
    <w:basedOn w:val="affffff"/>
    <w:next w:val="affffb"/>
    <w:rsid w:val="009B46F9"/>
    <w:pPr>
      <w:autoSpaceDN w:val="0"/>
      <w:outlineLvl w:val="2"/>
    </w:pPr>
    <w:rPr>
      <w:rFonts w:ascii="宋体" w:eastAsia="宋体" w:hAnsi="宋体"/>
    </w:rPr>
  </w:style>
  <w:style w:type="character" w:customStyle="1" w:styleId="affffffff">
    <w:name w:val="个人答复风格"/>
    <w:rsid w:val="009B46F9"/>
    <w:rPr>
      <w:rFonts w:ascii="Arial" w:eastAsia="宋体" w:hAnsi="Arial" w:cs="Arial"/>
      <w:color w:val="auto"/>
      <w:spacing w:val="0"/>
      <w:sz w:val="20"/>
    </w:rPr>
  </w:style>
  <w:style w:type="character" w:customStyle="1" w:styleId="affffffff0">
    <w:name w:val="个人撰写风格"/>
    <w:rsid w:val="009B46F9"/>
    <w:rPr>
      <w:rFonts w:ascii="Arial" w:eastAsia="宋体" w:hAnsi="Arial" w:cs="Arial"/>
      <w:color w:val="auto"/>
      <w:spacing w:val="0"/>
      <w:sz w:val="20"/>
    </w:rPr>
  </w:style>
  <w:style w:type="paragraph" w:customStyle="1" w:styleId="affffffff1">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f2">
    <w:name w:val="列项·"/>
    <w:basedOn w:val="affffb"/>
    <w:rsid w:val="009B46F9"/>
    <w:pPr>
      <w:tabs>
        <w:tab w:val="left" w:pos="840"/>
      </w:tabs>
    </w:pPr>
  </w:style>
  <w:style w:type="paragraph" w:customStyle="1" w:styleId="affffffff3">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4">
    <w:name w:val="其他标准称谓"/>
    <w:rsid w:val="009B46F9"/>
    <w:pPr>
      <w:spacing w:line="0" w:lineRule="atLeast"/>
      <w:jc w:val="distribute"/>
    </w:pPr>
    <w:rPr>
      <w:rFonts w:ascii="黑体" w:eastAsia="黑体" w:hAnsi="宋体"/>
      <w:sz w:val="52"/>
    </w:rPr>
  </w:style>
  <w:style w:type="paragraph" w:customStyle="1" w:styleId="affffffff5">
    <w:name w:val="其他发布部门"/>
    <w:basedOn w:val="afffffff"/>
    <w:rsid w:val="009B46F9"/>
    <w:pPr>
      <w:framePr w:wrap="around"/>
      <w:spacing w:line="0" w:lineRule="atLeast"/>
    </w:pPr>
    <w:rPr>
      <w:rFonts w:ascii="黑体" w:eastAsia="黑体"/>
      <w:b w:val="0"/>
    </w:rPr>
  </w:style>
  <w:style w:type="paragraph" w:customStyle="1" w:styleId="affb">
    <w:name w:val="前言标题"/>
    <w:next w:val="afff5"/>
    <w:qFormat/>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6">
    <w:name w:val="实施日期"/>
    <w:basedOn w:val="afffffff0"/>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B46F9"/>
    <w:pPr>
      <w:adjustRightInd/>
      <w:spacing w:line="240" w:lineRule="auto"/>
      <w:jc w:val="left"/>
    </w:pPr>
    <w:rPr>
      <w:szCs w:val="24"/>
    </w:rPr>
  </w:style>
  <w:style w:type="paragraph" w:customStyle="1" w:styleId="affffffff8">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a">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b">
    <w:name w:val="Normal Indent"/>
    <w:basedOn w:val="afff5"/>
    <w:rsid w:val="009B46F9"/>
    <w:pPr>
      <w:ind w:firstLine="420"/>
    </w:pPr>
  </w:style>
  <w:style w:type="paragraph" w:customStyle="1" w:styleId="affffffffc">
    <w:name w:val="注:后续"/>
    <w:rsid w:val="009B46F9"/>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B46F9"/>
    <w:pPr>
      <w:ind w:leftChars="0" w:left="1406" w:firstLineChars="0" w:hanging="499"/>
    </w:pPr>
  </w:style>
  <w:style w:type="paragraph" w:customStyle="1" w:styleId="affffffffe">
    <w:name w:val="标准文件_一级无标题"/>
    <w:basedOn w:val="affd"/>
    <w:qFormat/>
    <w:rsid w:val="009B46F9"/>
    <w:pPr>
      <w:spacing w:beforeLines="0" w:before="0" w:afterLines="0" w:after="0"/>
      <w:outlineLvl w:val="9"/>
    </w:pPr>
    <w:rPr>
      <w:rFonts w:ascii="宋体" w:eastAsia="宋体"/>
    </w:rPr>
  </w:style>
  <w:style w:type="paragraph" w:customStyle="1" w:styleId="afffffffff">
    <w:name w:val="标准文件_五级无标题"/>
    <w:basedOn w:val="afff1"/>
    <w:qFormat/>
    <w:rsid w:val="009B46F9"/>
    <w:pPr>
      <w:spacing w:beforeLines="0" w:before="0" w:afterLines="0" w:after="0"/>
      <w:outlineLvl w:val="9"/>
    </w:pPr>
    <w:rPr>
      <w:rFonts w:ascii="宋体" w:eastAsia="宋体"/>
    </w:rPr>
  </w:style>
  <w:style w:type="paragraph" w:customStyle="1" w:styleId="afffffffff0">
    <w:name w:val="标准文件_三级无标题"/>
    <w:basedOn w:val="afff"/>
    <w:qFormat/>
    <w:rsid w:val="009B46F9"/>
    <w:pPr>
      <w:spacing w:beforeLines="0" w:before="0" w:afterLines="0" w:after="0"/>
      <w:outlineLvl w:val="9"/>
    </w:pPr>
    <w:rPr>
      <w:rFonts w:ascii="宋体" w:eastAsia="宋体"/>
    </w:rPr>
  </w:style>
  <w:style w:type="paragraph" w:customStyle="1" w:styleId="afffffffff1">
    <w:name w:val="标准文件_二级无标题"/>
    <w:basedOn w:val="affe"/>
    <w:qFormat/>
    <w:rsid w:val="009B46F9"/>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9B46F9"/>
    <w:rPr>
      <w:rFonts w:eastAsia="宋体"/>
    </w:rPr>
  </w:style>
  <w:style w:type="paragraph" w:customStyle="1" w:styleId="afffffffff3">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9B46F9"/>
    <w:pPr>
      <w:numPr>
        <w:numId w:val="2"/>
      </w:numPr>
      <w:ind w:firstLineChars="0" w:firstLine="0"/>
    </w:pPr>
    <w:rPr>
      <w:rFonts w:ascii="Times New Roman" w:cs="Arial"/>
      <w:szCs w:val="28"/>
    </w:rPr>
  </w:style>
  <w:style w:type="paragraph" w:customStyle="1" w:styleId="ae">
    <w:name w:val="标准文件_小写罗马数字编号列项"/>
    <w:basedOn w:val="affffb"/>
    <w:rsid w:val="009B46F9"/>
    <w:pPr>
      <w:numPr>
        <w:numId w:val="15"/>
      </w:numPr>
      <w:ind w:firstLineChars="0" w:firstLine="0"/>
    </w:pPr>
    <w:rPr>
      <w:rFonts w:cs="Arial"/>
      <w:szCs w:val="28"/>
    </w:rPr>
  </w:style>
  <w:style w:type="paragraph" w:customStyle="1" w:styleId="afffffffff4">
    <w:name w:val="标准文件_附录标题"/>
    <w:basedOn w:val="aff3"/>
    <w:qFormat/>
    <w:rsid w:val="009B46F9"/>
    <w:pPr>
      <w:numPr>
        <w:numId w:val="0"/>
      </w:numPr>
      <w:spacing w:after="280"/>
      <w:outlineLvl w:val="9"/>
    </w:pPr>
  </w:style>
  <w:style w:type="paragraph" w:customStyle="1" w:styleId="afffffffff5">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b"/>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6">
    <w:name w:val="标准文件_索引字母"/>
    <w:next w:val="affffb"/>
    <w:qFormat/>
    <w:rsid w:val="009B46F9"/>
    <w:pPr>
      <w:jc w:val="center"/>
    </w:pPr>
    <w:rPr>
      <w:rFonts w:ascii="宋体" w:eastAsia="Times New Roman" w:hAnsi="宋体"/>
      <w:b/>
      <w:kern w:val="2"/>
      <w:sz w:val="21"/>
    </w:rPr>
  </w:style>
  <w:style w:type="paragraph" w:customStyle="1" w:styleId="afffffffff7">
    <w:name w:val="标准文件_附录前"/>
    <w:next w:val="affffb"/>
    <w:qFormat/>
    <w:rsid w:val="009B46F9"/>
    <w:pPr>
      <w:spacing w:line="20" w:lineRule="atLeast"/>
      <w:ind w:firstLine="200"/>
    </w:pPr>
    <w:rPr>
      <w:rFonts w:ascii="宋体" w:hAnsi="宋体"/>
      <w:kern w:val="2"/>
      <w:sz w:val="10"/>
    </w:rPr>
  </w:style>
  <w:style w:type="paragraph" w:customStyle="1" w:styleId="afffffffff8">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B46F9"/>
    <w:pPr>
      <w:ind w:firstLineChars="0" w:firstLine="0"/>
      <w:jc w:val="center"/>
    </w:pPr>
    <w:rPr>
      <w:sz w:val="18"/>
    </w:rPr>
  </w:style>
  <w:style w:type="paragraph" w:customStyle="1" w:styleId="afff2">
    <w:name w:val="标准文件_注："/>
    <w:next w:val="affffb"/>
    <w:qFormat/>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qFormat/>
    <w:rsid w:val="009B46F9"/>
    <w:rPr>
      <w:rFonts w:ascii="宋体" w:hAnsi="Times New Roman"/>
      <w:noProof/>
      <w:sz w:val="21"/>
    </w:rPr>
  </w:style>
  <w:style w:type="paragraph" w:customStyle="1" w:styleId="afffffffffb">
    <w:name w:val="标准文件_表格续"/>
    <w:basedOn w:val="affffb"/>
    <w:next w:val="affffb"/>
    <w:qFormat/>
    <w:rsid w:val="009B46F9"/>
    <w:pPr>
      <w:jc w:val="center"/>
    </w:pPr>
    <w:rPr>
      <w:rFonts w:ascii="黑体" w:eastAsia="黑体" w:hAnsi="黑体"/>
    </w:rPr>
  </w:style>
  <w:style w:type="paragraph" w:styleId="TOC1">
    <w:name w:val="toc 1"/>
    <w:basedOn w:val="afff5"/>
    <w:next w:val="afff5"/>
    <w:autoRedefine/>
    <w:uiPriority w:val="39"/>
    <w:unhideWhenUsed/>
    <w:rsid w:val="009B46F9"/>
    <w:rPr>
      <w:rFonts w:ascii="宋体"/>
    </w:rPr>
  </w:style>
  <w:style w:type="table" w:styleId="afffffffffc">
    <w:name w:val="Table Grid"/>
    <w:basedOn w:val="afff7"/>
    <w:qFormat/>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B46F9"/>
    <w:rPr>
      <w:color w:val="808080"/>
    </w:rPr>
  </w:style>
  <w:style w:type="paragraph" w:customStyle="1" w:styleId="2">
    <w:name w:val="标准文件_二级项2"/>
    <w:basedOn w:val="affffb"/>
    <w:qFormat/>
    <w:rsid w:val="009B46F9"/>
    <w:pPr>
      <w:numPr>
        <w:ilvl w:val="1"/>
        <w:numId w:val="16"/>
      </w:numPr>
      <w:ind w:firstLineChars="0" w:firstLine="0"/>
    </w:pPr>
  </w:style>
  <w:style w:type="paragraph" w:customStyle="1" w:styleId="21">
    <w:name w:val="标准文件_三级项2"/>
    <w:basedOn w:val="affffb"/>
    <w:qFormat/>
    <w:rsid w:val="009B46F9"/>
    <w:pPr>
      <w:numPr>
        <w:numId w:val="10"/>
      </w:numPr>
      <w:spacing w:line="300" w:lineRule="exact"/>
      <w:ind w:firstLineChars="0"/>
    </w:pPr>
    <w:rPr>
      <w:rFonts w:ascii="Times New Roman"/>
    </w:rPr>
  </w:style>
  <w:style w:type="paragraph" w:customStyle="1" w:styleId="20">
    <w:name w:val="标准文件_一级项2"/>
    <w:basedOn w:val="affffb"/>
    <w:qFormat/>
    <w:rsid w:val="009B46F9"/>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9B46F9"/>
    <w:pPr>
      <w:ind w:firstLine="420"/>
    </w:pPr>
    <w:rPr>
      <w:rFonts w:ascii="黑体" w:eastAsia="黑体"/>
    </w:rPr>
  </w:style>
  <w:style w:type="character" w:customStyle="1" w:styleId="affffffffff">
    <w:name w:val="标准文件_来源"/>
    <w:basedOn w:val="afff6"/>
    <w:uiPriority w:val="1"/>
    <w:qFormat/>
    <w:rsid w:val="009B46F9"/>
    <w:rPr>
      <w:rFonts w:eastAsia="宋体"/>
      <w:sz w:val="21"/>
    </w:rPr>
  </w:style>
  <w:style w:type="paragraph" w:customStyle="1" w:styleId="affffffffff0">
    <w:name w:val="标准文件_图表说明"/>
    <w:qFormat/>
    <w:rsid w:val="009B46F9"/>
    <w:pPr>
      <w:spacing w:line="276" w:lineRule="auto"/>
      <w:ind w:firstLine="420"/>
    </w:pPr>
    <w:rPr>
      <w:rFonts w:ascii="宋体" w:hAnsi="宋体"/>
      <w:kern w:val="2"/>
      <w:sz w:val="18"/>
    </w:rPr>
  </w:style>
  <w:style w:type="paragraph" w:customStyle="1" w:styleId="affffffffff1">
    <w:name w:val="其他发布日期"/>
    <w:basedOn w:val="afffffff0"/>
    <w:rsid w:val="009B46F9"/>
    <w:pPr>
      <w:framePr w:w="3997" w:h="471" w:hRule="exact" w:hSpace="0" w:vSpace="181" w:wrap="around" w:vAnchor="page" w:hAnchor="page" w:x="1419" w:y="14097"/>
    </w:pPr>
  </w:style>
  <w:style w:type="paragraph" w:customStyle="1" w:styleId="affffffffff2">
    <w:name w:val="其他实施日期"/>
    <w:basedOn w:val="affffffff6"/>
    <w:rsid w:val="009B46F9"/>
    <w:pPr>
      <w:framePr w:w="3997" w:h="471" w:hRule="exact" w:vSpace="181" w:wrap="around" w:vAnchor="page" w:hAnchor="page" w:x="7089" w:y="14097"/>
    </w:pPr>
  </w:style>
  <w:style w:type="paragraph" w:customStyle="1" w:styleId="affffffffff3">
    <w:name w:val="标准文件_文件编号"/>
    <w:basedOn w:val="affffb"/>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B46F9"/>
    <w:pPr>
      <w:framePr w:wrap="auto"/>
      <w:spacing w:before="57"/>
    </w:pPr>
    <w:rPr>
      <w:sz w:val="21"/>
    </w:rPr>
  </w:style>
  <w:style w:type="paragraph" w:customStyle="1" w:styleId="affffffffff5">
    <w:name w:val="标准文件_文件名称"/>
    <w:basedOn w:val="affffb"/>
    <w:next w:val="affffb"/>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9B46F9"/>
    <w:pPr>
      <w:spacing w:line="300" w:lineRule="exact"/>
      <w:ind w:left="420"/>
    </w:pPr>
    <w:rPr>
      <w:rFonts w:ascii="宋体"/>
    </w:rPr>
  </w:style>
  <w:style w:type="paragraph" w:styleId="TOC4">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9B46F9"/>
    <w:pPr>
      <w:ind w:left="839"/>
    </w:pPr>
    <w:rPr>
      <w:rFonts w:ascii="宋体"/>
    </w:rPr>
  </w:style>
  <w:style w:type="paragraph" w:styleId="TOC6">
    <w:name w:val="toc 6"/>
    <w:basedOn w:val="afff5"/>
    <w:next w:val="afff5"/>
    <w:autoRedefine/>
    <w:uiPriority w:val="39"/>
    <w:unhideWhenUsed/>
    <w:rsid w:val="009B46F9"/>
    <w:pPr>
      <w:spacing w:line="300" w:lineRule="exact"/>
      <w:ind w:left="1049"/>
    </w:pPr>
    <w:rPr>
      <w:rFonts w:ascii="宋体"/>
    </w:rPr>
  </w:style>
  <w:style w:type="paragraph" w:styleId="TOC7">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46F9"/>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9B46F9"/>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9B46F9"/>
    <w:pPr>
      <w:ind w:left="811" w:firstLineChars="0" w:firstLine="0"/>
    </w:pPr>
    <w:rPr>
      <w:sz w:val="18"/>
    </w:rPr>
  </w:style>
  <w:style w:type="paragraph" w:customStyle="1" w:styleId="X">
    <w:name w:val="标准文件_注X后"/>
    <w:basedOn w:val="affffb"/>
    <w:qFormat/>
    <w:rsid w:val="009B46F9"/>
    <w:pPr>
      <w:ind w:left="811" w:firstLineChars="0" w:firstLine="0"/>
    </w:pPr>
    <w:rPr>
      <w:sz w:val="18"/>
    </w:rPr>
  </w:style>
  <w:style w:type="paragraph" w:customStyle="1" w:styleId="affffffffff7">
    <w:name w:val="标准文件_示例后"/>
    <w:basedOn w:val="affffb"/>
    <w:qFormat/>
    <w:rsid w:val="009B46F9"/>
    <w:pPr>
      <w:ind w:left="964" w:firstLineChars="0" w:firstLine="0"/>
    </w:pPr>
    <w:rPr>
      <w:sz w:val="18"/>
    </w:rPr>
  </w:style>
  <w:style w:type="paragraph" w:customStyle="1" w:styleId="X0">
    <w:name w:val="标准文件_示例X后"/>
    <w:basedOn w:val="affffb"/>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8">
    <w:name w:val="标准文件_索引项"/>
    <w:basedOn w:val="affffb"/>
    <w:next w:val="affffb"/>
    <w:qFormat/>
    <w:rsid w:val="009B46F9"/>
    <w:pPr>
      <w:tabs>
        <w:tab w:val="right" w:leader="dot" w:pos="9356"/>
      </w:tabs>
      <w:ind w:left="210" w:firstLineChars="0" w:hanging="210"/>
      <w:jc w:val="left"/>
    </w:pPr>
  </w:style>
  <w:style w:type="paragraph" w:customStyle="1" w:styleId="affffffffff9">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B46F9"/>
    <w:pPr>
      <w:ind w:firstLine="420"/>
    </w:pPr>
    <w:rPr>
      <w:sz w:val="18"/>
    </w:rPr>
  </w:style>
  <w:style w:type="paragraph" w:customStyle="1" w:styleId="affffffffffe">
    <w:name w:val="标准文件_引言一级无标题"/>
    <w:basedOn w:val="a7"/>
    <w:next w:val="affffb"/>
    <w:qFormat/>
    <w:rsid w:val="009B46F9"/>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9B46F9"/>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9B46F9"/>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9B46F9"/>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CD561D"/>
    <w:rPr>
      <w:rFonts w:hAnsi="黑体"/>
    </w:rPr>
  </w:style>
  <w:style w:type="paragraph" w:customStyle="1" w:styleId="afffffffffff4">
    <w:name w:val="标准文件_脚注内容"/>
    <w:basedOn w:val="affffb"/>
    <w:qFormat/>
    <w:rsid w:val="009B46F9"/>
    <w:pPr>
      <w:ind w:leftChars="200" w:left="400" w:hangingChars="200" w:hanging="200"/>
    </w:pPr>
    <w:rPr>
      <w:sz w:val="15"/>
    </w:rPr>
  </w:style>
  <w:style w:type="paragraph" w:customStyle="1" w:styleId="afffffffffff5">
    <w:name w:val="标准文件_术语条一"/>
    <w:basedOn w:val="affffffffe"/>
    <w:next w:val="affffb"/>
    <w:qFormat/>
    <w:rsid w:val="009B46F9"/>
  </w:style>
  <w:style w:type="paragraph" w:customStyle="1" w:styleId="afffffffffff6">
    <w:name w:val="标准文件_术语条二"/>
    <w:basedOn w:val="afffffffff1"/>
    <w:next w:val="affffb"/>
    <w:qFormat/>
    <w:rsid w:val="009B46F9"/>
  </w:style>
  <w:style w:type="paragraph" w:customStyle="1" w:styleId="afffffffffff7">
    <w:name w:val="标准文件_术语条三"/>
    <w:basedOn w:val="afffffffff0"/>
    <w:next w:val="affffb"/>
    <w:qFormat/>
    <w:rsid w:val="009B46F9"/>
  </w:style>
  <w:style w:type="paragraph" w:customStyle="1" w:styleId="afffffffffff8">
    <w:name w:val="标准文件_术语条四"/>
    <w:basedOn w:val="afffffffff3"/>
    <w:next w:val="affffb"/>
    <w:qFormat/>
    <w:rsid w:val="009B46F9"/>
  </w:style>
  <w:style w:type="paragraph" w:customStyle="1" w:styleId="afffffffffff9">
    <w:name w:val="标准文件_术语条五"/>
    <w:basedOn w:val="afffffffff"/>
    <w:next w:val="affffb"/>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7.jpg"/><Relationship Id="rId10" Type="http://schemas.openxmlformats.org/officeDocument/2006/relationships/header" Target="header2.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3BA9182E32245408D3E106A3B367FC0"/>
        <w:category>
          <w:name w:val="常规"/>
          <w:gallery w:val="placeholder"/>
        </w:category>
        <w:types>
          <w:type w:val="bbPlcHdr"/>
        </w:types>
        <w:behaviors>
          <w:behavior w:val="content"/>
        </w:behaviors>
        <w:guid w:val="{FA245389-5708-4331-8561-4E5D1856844F}"/>
      </w:docPartPr>
      <w:docPartBody>
        <w:p w:rsidR="00D5590A" w:rsidRDefault="00000000">
          <w:pPr>
            <w:pStyle w:val="63BA9182E32245408D3E106A3B367FC0"/>
            <w:rPr>
              <w:rFonts w:hint="eastAsia"/>
            </w:rPr>
          </w:pPr>
          <w:r w:rsidRPr="00751A05">
            <w:rPr>
              <w:rStyle w:val="a3"/>
              <w:rFonts w:hint="eastAsia"/>
            </w:rPr>
            <w:t>单击或点击此处输入文字。</w:t>
          </w:r>
        </w:p>
      </w:docPartBody>
    </w:docPart>
    <w:docPart>
      <w:docPartPr>
        <w:name w:val="95B1F67DD9304FAF95C727864D07E1CE"/>
        <w:category>
          <w:name w:val="常规"/>
          <w:gallery w:val="placeholder"/>
        </w:category>
        <w:types>
          <w:type w:val="bbPlcHdr"/>
        </w:types>
        <w:behaviors>
          <w:behavior w:val="content"/>
        </w:behaviors>
        <w:guid w:val="{B65C1D70-2EE8-42D4-A460-885266C19210}"/>
      </w:docPartPr>
      <w:docPartBody>
        <w:p w:rsidR="00D5590A" w:rsidRDefault="00000000">
          <w:pPr>
            <w:pStyle w:val="95B1F67DD9304FAF95C727864D07E1CE"/>
            <w:rPr>
              <w:rFonts w:hint="eastAsia"/>
            </w:rPr>
          </w:pPr>
          <w:r w:rsidRPr="00FB6243">
            <w:rPr>
              <w:rStyle w:val="a3"/>
              <w:rFonts w:hint="eastAsia"/>
            </w:rPr>
            <w:t>选择一项。</w:t>
          </w:r>
        </w:p>
      </w:docPartBody>
    </w:docPart>
    <w:docPart>
      <w:docPartPr>
        <w:name w:val="6C35E157794A4054B3C839BBA3CF8BF0"/>
        <w:category>
          <w:name w:val="常规"/>
          <w:gallery w:val="placeholder"/>
        </w:category>
        <w:types>
          <w:type w:val="bbPlcHdr"/>
        </w:types>
        <w:behaviors>
          <w:behavior w:val="content"/>
        </w:behaviors>
        <w:guid w:val="{425ED3C6-D52D-4CDF-B3AA-E693163EA79C}"/>
      </w:docPartPr>
      <w:docPartBody>
        <w:p w:rsidR="00D5590A" w:rsidRDefault="00000000">
          <w:pPr>
            <w:pStyle w:val="6C35E157794A4054B3C839BBA3CF8BF0"/>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5A6"/>
    <w:rsid w:val="00484F23"/>
    <w:rsid w:val="00514DFF"/>
    <w:rsid w:val="008054EA"/>
    <w:rsid w:val="009962D5"/>
    <w:rsid w:val="00B745A6"/>
    <w:rsid w:val="00C61488"/>
    <w:rsid w:val="00D5590A"/>
    <w:rsid w:val="00E46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3BA9182E32245408D3E106A3B367FC0">
    <w:name w:val="63BA9182E32245408D3E106A3B367FC0"/>
    <w:pPr>
      <w:widowControl w:val="0"/>
      <w:jc w:val="both"/>
    </w:pPr>
  </w:style>
  <w:style w:type="paragraph" w:customStyle="1" w:styleId="95B1F67DD9304FAF95C727864D07E1CE">
    <w:name w:val="95B1F67DD9304FAF95C727864D07E1CE"/>
    <w:pPr>
      <w:widowControl w:val="0"/>
      <w:jc w:val="both"/>
    </w:pPr>
  </w:style>
  <w:style w:type="paragraph" w:customStyle="1" w:styleId="6C35E157794A4054B3C839BBA3CF8BF0">
    <w:name w:val="6C35E157794A4054B3C839BBA3CF8BF0"/>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03465-9310-430F-A8A0-DFC80D2CA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383</TotalTime>
  <Pages>20</Pages>
  <Words>2097</Words>
  <Characters>11959</Characters>
  <Application>Microsoft Office Word</Application>
  <DocSecurity>0</DocSecurity>
  <Lines>99</Lines>
  <Paragraphs>28</Paragraphs>
  <ScaleCrop>false</ScaleCrop>
  <Company>PCMI</Company>
  <LinksUpToDate>false</LinksUpToDate>
  <CharactersWithSpaces>14028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李季</dc:creator>
  <cp:keywords/>
  <dc:description>&lt;config cover="true" show_menu="true" version="1.0.0" doctype="SDKXY"&gt;_x000d_
&lt;/config&gt;</dc:description>
  <cp:lastModifiedBy>？¿</cp:lastModifiedBy>
  <cp:revision>178</cp:revision>
  <cp:lastPrinted>2024-10-24T05:18:00Z</cp:lastPrinted>
  <dcterms:created xsi:type="dcterms:W3CDTF">2024-10-19T01:26:00Z</dcterms:created>
  <dcterms:modified xsi:type="dcterms:W3CDTF">2024-10-24T05:23:00Z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