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13.020</w:t>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Z05</w:t>
            </w:r>
            <w:r>
              <w:rPr>
                <w:rFonts w:ascii="黑体" w:hAnsi="黑体" w:eastAsia="黑体"/>
                <w:sz w:val="21"/>
                <w:szCs w:val="21"/>
              </w:rPr>
              <w:t>     </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0"/>
              <w:framePr w:w="0" w:hRule="auto" w:wrap="auto" w:vAnchor="margin" w:hAnchor="text" w:xAlign="left" w:yAlign="inline"/>
              <w:rPr>
                <w:rFonts w:hint="eastAsia"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pPr>
        <w:pStyle w:val="51"/>
        <w:framePr w:w="9639" w:h="624" w:hRule="exact" w:hSpace="181" w:vSpace="181" w:wrap="around" w:hAnchor="page" w:x="1305" w:y="2269"/>
        <w:rPr>
          <w:rFonts w:hint="eastAsia"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6"/>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7"/>
        <w:rPr>
          <w:rFonts w:hint="eastAsia"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1"/>
        <w:framePr w:w="9639" w:h="6976" w:hRule="exact" w:hSpace="0" w:vSpace="0" w:wrap="around" w:hAnchor="page" w:y="6408"/>
        <w:jc w:val="center"/>
        <w:rPr>
          <w:rFonts w:hint="eastAsia" w:ascii="黑体" w:hAnsi="黑体" w:eastAsia="黑体"/>
          <w:b w:val="0"/>
          <w:bCs w:val="0"/>
          <w:w w:val="100"/>
        </w:rPr>
      </w:pPr>
    </w:p>
    <w:p>
      <w:pPr>
        <w:pStyle w:val="198"/>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港口再生水利用指南</w:t>
      </w:r>
      <w:r>
        <w:fldChar w:fldCharType="end"/>
      </w:r>
      <w:bookmarkEnd w:id="9"/>
    </w:p>
    <w:p>
      <w:pPr>
        <w:framePr w:w="9639" w:h="6974" w:hRule="exact" w:wrap="around" w:vAnchor="page" w:hAnchor="page" w:x="1419" w:y="6408" w:anchorLock="1"/>
        <w:ind w:left="-1418"/>
      </w:pPr>
    </w:p>
    <w:p>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Guidelines for the use of urban reclaimed water in port</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6"/>
        <w:framePr w:w="9639" w:h="6974" w:hRule="exact" w:wrap="around" w:vAnchor="page" w:hAnchor="page" w:x="1419" w:y="6408" w:anchorLock="1"/>
        <w:textAlignment w:val="bottom"/>
        <w:rPr>
          <w:rFonts w:eastAsia="黑体"/>
          <w:szCs w:val="28"/>
        </w:rPr>
      </w:pPr>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4"/>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5"/>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2"/>
        <w:framePr w:h="584" w:hRule="exact" w:hSpace="181" w:vSpace="181" w:wrap="around" w:y="15027"/>
        <w:rPr>
          <w:rFonts w:hint="eastAsia"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2"/>
        <w:spacing w:after="468"/>
        <w:rPr>
          <w:rFonts w:hint="eastAsia"/>
        </w:rPr>
      </w:pPr>
      <w:bookmarkStart w:id="21" w:name="BookMark1"/>
      <w:r>
        <w:rPr>
          <w:rFonts w:hint="eastAsia"/>
          <w:spacing w:val="320"/>
        </w:rPr>
        <w:t>目</w:t>
      </w:r>
      <w:r>
        <w:rPr>
          <w:rFonts w:hint="eastAsia"/>
        </w:rPr>
        <w:t>次</w:t>
      </w:r>
    </w:p>
    <w:p>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"_Toc187500590" </w:instrText>
      </w:r>
      <w:r>
        <w:fldChar w:fldCharType="separate"/>
      </w:r>
      <w:r>
        <w:rPr>
          <w:rStyle w:val="33"/>
          <w:rFonts w:hint="eastAsia"/>
        </w:rPr>
        <w:t>前言</w:t>
      </w:r>
      <w:r>
        <w:rPr>
          <w:rFonts w:hint="eastAsia"/>
        </w:rPr>
        <w:tab/>
      </w:r>
      <w:r>
        <w:rPr>
          <w:rFonts w:hint="eastAsia"/>
        </w:rPr>
        <w:fldChar w:fldCharType="begin"/>
      </w:r>
      <w:r>
        <w:rPr>
          <w:rFonts w:hint="eastAsia"/>
        </w:rPr>
        <w:instrText xml:space="preserve"> </w:instrText>
      </w:r>
      <w:r>
        <w:instrText xml:space="preserve">PAGEREF _Toc187500590 \h</w:instrText>
      </w:r>
      <w:r>
        <w:rPr>
          <w:rFonts w:hint="eastAsia"/>
        </w:rPr>
        <w:instrText xml:space="preserve"> </w:instrText>
      </w:r>
      <w:r>
        <w:fldChar w:fldCharType="separate"/>
      </w:r>
      <w:r>
        <w:t>II</w:t>
      </w:r>
      <w:r>
        <w:rPr>
          <w:rFonts w:hint="eastAsia"/>
        </w:rPr>
        <w:fldChar w:fldCharType="end"/>
      </w:r>
      <w:r>
        <w:rPr>
          <w:rFonts w:hint="eastAsia"/>
        </w:rPr>
        <w:fldChar w:fldCharType="end"/>
      </w:r>
    </w:p>
    <w:p>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"_Toc187500591" </w:instrText>
      </w:r>
      <w:r>
        <w:fldChar w:fldCharType="separate"/>
      </w:r>
      <w:r>
        <w:rPr>
          <w:rStyle w:val="33"/>
          <w:rFonts w:hint="eastAsia"/>
        </w:rPr>
        <w:t>1</w:t>
      </w:r>
      <w:r>
        <w:rPr>
          <w:rStyle w:val="33"/>
        </w:rPr>
        <w:t xml:space="preserve"> </w:t>
      </w:r>
      <w:r>
        <w:rPr>
          <w:rStyle w:val="33"/>
          <w:rFonts w:hint="eastAsia"/>
        </w:rPr>
        <w:t xml:space="preserve"> 范围</w:t>
      </w:r>
      <w:r>
        <w:rPr>
          <w:rFonts w:hint="eastAsia"/>
        </w:rPr>
        <w:tab/>
      </w:r>
      <w:r>
        <w:rPr>
          <w:rFonts w:hint="eastAsia"/>
        </w:rPr>
        <w:fldChar w:fldCharType="begin"/>
      </w:r>
      <w:r>
        <w:rPr>
          <w:rFonts w:hint="eastAsia"/>
        </w:rPr>
        <w:instrText xml:space="preserve"> </w:instrText>
      </w:r>
      <w:r>
        <w:instrText xml:space="preserve">PAGEREF _Toc187500591 \h</w:instrText>
      </w:r>
      <w:r>
        <w:rPr>
          <w:rFonts w:hint="eastAsia"/>
        </w:rPr>
        <w:instrText xml:space="preserve"> </w:instrText>
      </w:r>
      <w:r>
        <w:fldChar w:fldCharType="separate"/>
      </w:r>
      <w:r>
        <w:t>1</w:t>
      </w:r>
      <w:r>
        <w:rPr>
          <w:rFonts w:hint="eastAsia"/>
        </w:rPr>
        <w:fldChar w:fldCharType="end"/>
      </w:r>
      <w:r>
        <w:rPr>
          <w:rFonts w:hint="eastAsia"/>
        </w:rPr>
        <w:fldChar w:fldCharType="end"/>
      </w:r>
    </w:p>
    <w:p>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"_Toc187500592" </w:instrText>
      </w:r>
      <w:r>
        <w:fldChar w:fldCharType="separate"/>
      </w:r>
      <w:r>
        <w:rPr>
          <w:rStyle w:val="33"/>
          <w:rFonts w:hint="eastAsia"/>
        </w:rPr>
        <w:t>2</w:t>
      </w:r>
      <w:r>
        <w:rPr>
          <w:rStyle w:val="33"/>
        </w:rPr>
        <w:t xml:space="preserve"> </w:t>
      </w:r>
      <w:r>
        <w:rPr>
          <w:rStyle w:val="33"/>
          <w:rFonts w:hint="eastAsia"/>
        </w:rPr>
        <w:t xml:space="preserve"> 规范性引用文件</w:t>
      </w:r>
      <w:r>
        <w:rPr>
          <w:rFonts w:hint="eastAsia"/>
        </w:rPr>
        <w:tab/>
      </w:r>
      <w:r>
        <w:rPr>
          <w:rFonts w:hint="eastAsia"/>
        </w:rPr>
        <w:fldChar w:fldCharType="begin"/>
      </w:r>
      <w:r>
        <w:rPr>
          <w:rFonts w:hint="eastAsia"/>
        </w:rPr>
        <w:instrText xml:space="preserve"> </w:instrText>
      </w:r>
      <w:r>
        <w:instrText xml:space="preserve">PAGEREF _Toc187500592 \h</w:instrText>
      </w:r>
      <w:r>
        <w:rPr>
          <w:rFonts w:hint="eastAsia"/>
        </w:rPr>
        <w:instrText xml:space="preserve"> </w:instrText>
      </w:r>
      <w:r>
        <w:fldChar w:fldCharType="separate"/>
      </w:r>
      <w:r>
        <w:t>1</w:t>
      </w:r>
      <w:r>
        <w:rPr>
          <w:rFonts w:hint="eastAsia"/>
        </w:rPr>
        <w:fldChar w:fldCharType="end"/>
      </w:r>
      <w:r>
        <w:rPr>
          <w:rFonts w:hint="eastAsia"/>
        </w:rPr>
        <w:fldChar w:fldCharType="end"/>
      </w:r>
    </w:p>
    <w:p>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"_Toc187500593" </w:instrText>
      </w:r>
      <w:r>
        <w:fldChar w:fldCharType="separate"/>
      </w:r>
      <w:r>
        <w:rPr>
          <w:rStyle w:val="33"/>
          <w:rFonts w:hint="eastAsia"/>
        </w:rPr>
        <w:t>3</w:t>
      </w:r>
      <w:r>
        <w:rPr>
          <w:rStyle w:val="33"/>
        </w:rPr>
        <w:t xml:space="preserve"> </w:t>
      </w:r>
      <w:r>
        <w:rPr>
          <w:rStyle w:val="33"/>
          <w:rFonts w:hint="eastAsia"/>
        </w:rPr>
        <w:t xml:space="preserve"> 术语和定义</w:t>
      </w:r>
      <w:r>
        <w:rPr>
          <w:rFonts w:hint="eastAsia"/>
        </w:rPr>
        <w:tab/>
      </w:r>
      <w:r>
        <w:rPr>
          <w:rFonts w:hint="eastAsia"/>
        </w:rPr>
        <w:fldChar w:fldCharType="begin"/>
      </w:r>
      <w:r>
        <w:rPr>
          <w:rFonts w:hint="eastAsia"/>
        </w:rPr>
        <w:instrText xml:space="preserve"> </w:instrText>
      </w:r>
      <w:r>
        <w:instrText xml:space="preserve">PAGEREF _Toc187500593 \h</w:instrText>
      </w:r>
      <w:r>
        <w:rPr>
          <w:rFonts w:hint="eastAsia"/>
        </w:rPr>
        <w:instrText xml:space="preserve"> </w:instrText>
      </w:r>
      <w:r>
        <w:fldChar w:fldCharType="separate"/>
      </w:r>
      <w:r>
        <w:t>1</w:t>
      </w:r>
      <w:r>
        <w:rPr>
          <w:rFonts w:hint="eastAsia"/>
        </w:rPr>
        <w:fldChar w:fldCharType="end"/>
      </w:r>
      <w:r>
        <w:rPr>
          <w:rFonts w:hint="eastAsia"/>
        </w:rPr>
        <w:fldChar w:fldCharType="end"/>
      </w:r>
    </w:p>
    <w:p>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"_Toc187500594" </w:instrText>
      </w:r>
      <w:r>
        <w:fldChar w:fldCharType="separate"/>
      </w:r>
      <w:r>
        <w:rPr>
          <w:rStyle w:val="33"/>
          <w:rFonts w:hint="eastAsia"/>
        </w:rPr>
        <w:t>4</w:t>
      </w:r>
      <w:r>
        <w:rPr>
          <w:rStyle w:val="33"/>
        </w:rPr>
        <w:t xml:space="preserve"> </w:t>
      </w:r>
      <w:r>
        <w:rPr>
          <w:rStyle w:val="33"/>
          <w:rFonts w:hint="eastAsia"/>
        </w:rPr>
        <w:t xml:space="preserve"> 4 基本要求</w:t>
      </w:r>
      <w:bookmarkStart w:id="75" w:name="_GoBack"/>
      <w:bookmarkEnd w:id="75"/>
      <w:r>
        <w:rPr>
          <w:rFonts w:hint="eastAsia"/>
        </w:rPr>
        <w:tab/>
      </w:r>
      <w:r>
        <w:rPr>
          <w:rFonts w:hint="eastAsia"/>
        </w:rPr>
        <w:fldChar w:fldCharType="begin"/>
      </w:r>
      <w:r>
        <w:rPr>
          <w:rFonts w:hint="eastAsia"/>
        </w:rPr>
        <w:instrText xml:space="preserve"> </w:instrText>
      </w:r>
      <w:r>
        <w:instrText xml:space="preserve">PAGEREF _Toc187500594 \h</w:instrText>
      </w:r>
      <w:r>
        <w:rPr>
          <w:rFonts w:hint="eastAsia"/>
        </w:rPr>
        <w:instrText xml:space="preserve"> </w:instrText>
      </w:r>
      <w:r>
        <w:fldChar w:fldCharType="separate"/>
      </w:r>
      <w:r>
        <w:t>2</w:t>
      </w:r>
      <w:r>
        <w:rPr>
          <w:rFonts w:hint="eastAsia"/>
        </w:rPr>
        <w:fldChar w:fldCharType="end"/>
      </w:r>
      <w:r>
        <w:rPr>
          <w:rFonts w:hint="eastAsia"/>
        </w:rPr>
        <w:fldChar w:fldCharType="end"/>
      </w:r>
    </w:p>
    <w:p>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"_Toc187500595" </w:instrText>
      </w:r>
      <w:r>
        <w:fldChar w:fldCharType="separate"/>
      </w:r>
      <w:r>
        <w:rPr>
          <w:rStyle w:val="33"/>
          <w:rFonts w:hint="eastAsia"/>
        </w:rPr>
        <w:t>5</w:t>
      </w:r>
      <w:r>
        <w:rPr>
          <w:rStyle w:val="33"/>
        </w:rPr>
        <w:t xml:space="preserve"> </w:t>
      </w:r>
      <w:r>
        <w:rPr>
          <w:rStyle w:val="33"/>
          <w:rFonts w:hint="eastAsia"/>
        </w:rPr>
        <w:t xml:space="preserve"> 技术要求</w:t>
      </w:r>
      <w:r>
        <w:rPr>
          <w:rFonts w:hint="eastAsia"/>
        </w:rPr>
        <w:tab/>
      </w:r>
      <w:r>
        <w:rPr>
          <w:rFonts w:hint="eastAsia"/>
        </w:rPr>
        <w:fldChar w:fldCharType="begin"/>
      </w:r>
      <w:r>
        <w:rPr>
          <w:rFonts w:hint="eastAsia"/>
        </w:rPr>
        <w:instrText xml:space="preserve"> </w:instrText>
      </w:r>
      <w:r>
        <w:instrText xml:space="preserve">PAGEREF _Toc187500595 \h</w:instrText>
      </w:r>
      <w:r>
        <w:rPr>
          <w:rFonts w:hint="eastAsia"/>
        </w:rPr>
        <w:instrText xml:space="preserve"> </w:instrText>
      </w:r>
      <w:r>
        <w:fldChar w:fldCharType="separate"/>
      </w:r>
      <w:r>
        <w:t>2</w:t>
      </w:r>
      <w:r>
        <w:rPr>
          <w:rFonts w:hint="eastAsia"/>
        </w:rPr>
        <w:fldChar w:fldCharType="end"/>
      </w:r>
      <w:r>
        <w:rPr>
          <w:rFonts w:hint="eastAsia"/>
        </w:rPr>
        <w:fldChar w:fldCharType="end"/>
      </w:r>
    </w:p>
    <w:p>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"_Toc187500596" </w:instrText>
      </w:r>
      <w:r>
        <w:fldChar w:fldCharType="separate"/>
      </w:r>
      <w:r>
        <w:rPr>
          <w:rStyle w:val="33"/>
          <w:rFonts w:hint="eastAsia"/>
          <w14:scene3d>
            <w14:lightRig w14:rig="threePt" w14:dir="t">
              <w14:rot w14:lat="0" w14:lon="0" w14:rev="0"/>
            </w14:lightRig>
          </w14:scene3d>
        </w:rPr>
        <w:t>5.1</w:t>
      </w:r>
      <w:r>
        <w:rPr>
          <w:rStyle w:val="33"/>
          <w14:scene3d>
            <w14:lightRig w14:rig="threePt" w14:dir="t">
              <w14:rot w14:lat="0" w14:lon="0" w14:rev="0"/>
            </w14:lightRig>
          </w14:scene3d>
        </w:rPr>
        <w:t xml:space="preserve"> </w:t>
      </w:r>
      <w:r>
        <w:rPr>
          <w:rStyle w:val="33"/>
          <w:rFonts w:hint="eastAsia"/>
        </w:rPr>
        <w:t xml:space="preserve"> 原水</w:t>
      </w:r>
      <w:r>
        <w:rPr>
          <w:rFonts w:hint="eastAsia"/>
        </w:rPr>
        <w:tab/>
      </w:r>
      <w:r>
        <w:rPr>
          <w:rFonts w:hint="eastAsia"/>
        </w:rPr>
        <w:fldChar w:fldCharType="begin"/>
      </w:r>
      <w:r>
        <w:rPr>
          <w:rFonts w:hint="eastAsia"/>
        </w:rPr>
        <w:instrText xml:space="preserve"> </w:instrText>
      </w:r>
      <w:r>
        <w:instrText xml:space="preserve">PAGEREF _Toc187500596 \h</w:instrText>
      </w:r>
      <w:r>
        <w:rPr>
          <w:rFonts w:hint="eastAsia"/>
        </w:rPr>
        <w:instrText xml:space="preserve"> </w:instrText>
      </w:r>
      <w:r>
        <w:fldChar w:fldCharType="separate"/>
      </w:r>
      <w:r>
        <w:t>2</w:t>
      </w:r>
      <w:r>
        <w:rPr>
          <w:rFonts w:hint="eastAsia"/>
        </w:rPr>
        <w:fldChar w:fldCharType="end"/>
      </w:r>
      <w:r>
        <w:rPr>
          <w:rFonts w:hint="eastAsia"/>
        </w:rPr>
        <w:fldChar w:fldCharType="end"/>
      </w:r>
    </w:p>
    <w:p>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"_Toc187500597" </w:instrText>
      </w:r>
      <w:r>
        <w:fldChar w:fldCharType="separate"/>
      </w:r>
      <w:r>
        <w:rPr>
          <w:rStyle w:val="33"/>
          <w:rFonts w:hint="eastAsia"/>
          <w14:scene3d>
            <w14:lightRig w14:rig="threePt" w14:dir="t">
              <w14:rot w14:lat="0" w14:lon="0" w14:rev="0"/>
            </w14:lightRig>
          </w14:scene3d>
        </w:rPr>
        <w:t>5.2</w:t>
      </w:r>
      <w:r>
        <w:rPr>
          <w:rStyle w:val="33"/>
          <w14:scene3d>
            <w14:lightRig w14:rig="threePt" w14:dir="t">
              <w14:rot w14:lat="0" w14:lon="0" w14:rev="0"/>
            </w14:lightRig>
          </w14:scene3d>
        </w:rPr>
        <w:t xml:space="preserve"> </w:t>
      </w:r>
      <w:r>
        <w:rPr>
          <w:rStyle w:val="33"/>
          <w:rFonts w:hint="eastAsia"/>
        </w:rPr>
        <w:t xml:space="preserve"> 再生水</w:t>
      </w:r>
      <w:r>
        <w:rPr>
          <w:rFonts w:hint="eastAsia"/>
        </w:rPr>
        <w:tab/>
      </w:r>
      <w:r>
        <w:rPr>
          <w:rFonts w:hint="eastAsia"/>
        </w:rPr>
        <w:fldChar w:fldCharType="begin"/>
      </w:r>
      <w:r>
        <w:rPr>
          <w:rFonts w:hint="eastAsia"/>
        </w:rPr>
        <w:instrText xml:space="preserve"> </w:instrText>
      </w:r>
      <w:r>
        <w:instrText xml:space="preserve">PAGEREF _Toc187500597 \h</w:instrText>
      </w:r>
      <w:r>
        <w:rPr>
          <w:rFonts w:hint="eastAsia"/>
        </w:rPr>
        <w:instrText xml:space="preserve"> </w:instrText>
      </w:r>
      <w:r>
        <w:fldChar w:fldCharType="separate"/>
      </w:r>
      <w:r>
        <w:t>2</w:t>
      </w:r>
      <w:r>
        <w:rPr>
          <w:rFonts w:hint="eastAsia"/>
        </w:rPr>
        <w:fldChar w:fldCharType="end"/>
      </w:r>
      <w:r>
        <w:rPr>
          <w:rFonts w:hint="eastAsia"/>
        </w:rPr>
        <w:fldChar w:fldCharType="end"/>
      </w:r>
    </w:p>
    <w:p>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"_Toc187500598" </w:instrText>
      </w:r>
      <w:r>
        <w:fldChar w:fldCharType="separate"/>
      </w:r>
      <w:r>
        <w:rPr>
          <w:rStyle w:val="33"/>
          <w:rFonts w:hint="eastAsia"/>
          <w14:scene3d>
            <w14:lightRig w14:rig="threePt" w14:dir="t">
              <w14:rot w14:lat="0" w14:lon="0" w14:rev="0"/>
            </w14:lightRig>
          </w14:scene3d>
        </w:rPr>
        <w:t>5.3</w:t>
      </w:r>
      <w:r>
        <w:rPr>
          <w:rStyle w:val="33"/>
          <w14:scene3d>
            <w14:lightRig w14:rig="threePt" w14:dir="t">
              <w14:rot w14:lat="0" w14:lon="0" w14:rev="0"/>
            </w14:lightRig>
          </w14:scene3d>
        </w:rPr>
        <w:t xml:space="preserve"> </w:t>
      </w:r>
      <w:r>
        <w:rPr>
          <w:rStyle w:val="33"/>
          <w:rFonts w:hint="eastAsia"/>
        </w:rPr>
        <w:t xml:space="preserve"> 再生水处理工艺</w:t>
      </w:r>
      <w:r>
        <w:rPr>
          <w:rFonts w:hint="eastAsia"/>
        </w:rPr>
        <w:tab/>
      </w:r>
      <w:r>
        <w:rPr>
          <w:rFonts w:hint="eastAsia"/>
        </w:rPr>
        <w:fldChar w:fldCharType="begin"/>
      </w:r>
      <w:r>
        <w:rPr>
          <w:rFonts w:hint="eastAsia"/>
        </w:rPr>
        <w:instrText xml:space="preserve"> </w:instrText>
      </w:r>
      <w:r>
        <w:instrText xml:space="preserve">PAGEREF _Toc187500598 \h</w:instrText>
      </w:r>
      <w:r>
        <w:rPr>
          <w:rFonts w:hint="eastAsia"/>
        </w:rPr>
        <w:instrText xml:space="preserve"> </w:instrText>
      </w:r>
      <w:r>
        <w:fldChar w:fldCharType="separate"/>
      </w:r>
      <w:r>
        <w:t>3</w:t>
      </w:r>
      <w:r>
        <w:rPr>
          <w:rFonts w:hint="eastAsia"/>
        </w:rPr>
        <w:fldChar w:fldCharType="end"/>
      </w:r>
      <w:r>
        <w:rPr>
          <w:rFonts w:hint="eastAsia"/>
        </w:rPr>
        <w:fldChar w:fldCharType="end"/>
      </w:r>
    </w:p>
    <w:p>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"_Toc187500599" </w:instrText>
      </w:r>
      <w:r>
        <w:fldChar w:fldCharType="separate"/>
      </w:r>
      <w:r>
        <w:rPr>
          <w:rStyle w:val="33"/>
          <w:rFonts w:hint="eastAsia"/>
        </w:rPr>
        <w:t>6</w:t>
      </w:r>
      <w:r>
        <w:rPr>
          <w:rStyle w:val="33"/>
        </w:rPr>
        <w:t xml:space="preserve"> </w:t>
      </w:r>
      <w:r>
        <w:rPr>
          <w:rStyle w:val="33"/>
          <w:rFonts w:hint="eastAsia"/>
        </w:rPr>
        <w:t xml:space="preserve"> 再生水输配</w:t>
      </w:r>
      <w:r>
        <w:rPr>
          <w:rFonts w:hint="eastAsia"/>
        </w:rPr>
        <w:tab/>
      </w:r>
      <w:r>
        <w:rPr>
          <w:rFonts w:hint="eastAsia"/>
        </w:rPr>
        <w:fldChar w:fldCharType="begin"/>
      </w:r>
      <w:r>
        <w:rPr>
          <w:rFonts w:hint="eastAsia"/>
        </w:rPr>
        <w:instrText xml:space="preserve"> </w:instrText>
      </w:r>
      <w:r>
        <w:instrText xml:space="preserve">PAGEREF _Toc187500599 \h</w:instrText>
      </w:r>
      <w:r>
        <w:rPr>
          <w:rFonts w:hint="eastAsia"/>
        </w:rPr>
        <w:instrText xml:space="preserve"> </w:instrText>
      </w:r>
      <w:r>
        <w:fldChar w:fldCharType="separate"/>
      </w:r>
      <w:r>
        <w:t>3</w:t>
      </w:r>
      <w:r>
        <w:rPr>
          <w:rFonts w:hint="eastAsia"/>
        </w:rPr>
        <w:fldChar w:fldCharType="end"/>
      </w:r>
      <w:r>
        <w:rPr>
          <w:rFonts w:hint="eastAsia"/>
        </w:rPr>
        <w:fldChar w:fldCharType="end"/>
      </w:r>
    </w:p>
    <w:p>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"_Toc187500600" </w:instrText>
      </w:r>
      <w:r>
        <w:fldChar w:fldCharType="separate"/>
      </w:r>
      <w:r>
        <w:rPr>
          <w:rStyle w:val="33"/>
          <w:rFonts w:hint="eastAsia"/>
        </w:rPr>
        <w:t>7</w:t>
      </w:r>
      <w:r>
        <w:rPr>
          <w:rStyle w:val="33"/>
        </w:rPr>
        <w:t xml:space="preserve"> </w:t>
      </w:r>
      <w:r>
        <w:rPr>
          <w:rStyle w:val="33"/>
          <w:rFonts w:hint="eastAsia"/>
        </w:rPr>
        <w:t xml:space="preserve"> 监测与分析、管理与评价</w:t>
      </w:r>
      <w:r>
        <w:rPr>
          <w:rFonts w:hint="eastAsia"/>
        </w:rPr>
        <w:tab/>
      </w:r>
      <w:r>
        <w:rPr>
          <w:rFonts w:hint="eastAsia"/>
        </w:rPr>
        <w:fldChar w:fldCharType="begin"/>
      </w:r>
      <w:r>
        <w:rPr>
          <w:rFonts w:hint="eastAsia"/>
        </w:rPr>
        <w:instrText xml:space="preserve"> </w:instrText>
      </w:r>
      <w:r>
        <w:instrText xml:space="preserve">PAGEREF _Toc187500600 \h</w:instrText>
      </w:r>
      <w:r>
        <w:rPr>
          <w:rFonts w:hint="eastAsia"/>
        </w:rPr>
        <w:instrText xml:space="preserve"> </w:instrText>
      </w:r>
      <w:r>
        <w:fldChar w:fldCharType="separate"/>
      </w:r>
      <w:r>
        <w:t>3</w:t>
      </w:r>
      <w:r>
        <w:rPr>
          <w:rFonts w:hint="eastAsia"/>
        </w:rPr>
        <w:fldChar w:fldCharType="end"/>
      </w:r>
      <w:r>
        <w:rPr>
          <w:rFonts w:hint="eastAsia"/>
        </w:rPr>
        <w:fldChar w:fldCharType="end"/>
      </w:r>
    </w:p>
    <w:p>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"_Toc187500601" </w:instrText>
      </w:r>
      <w:r>
        <w:fldChar w:fldCharType="separate"/>
      </w:r>
      <w:r>
        <w:rPr>
          <w:rStyle w:val="33"/>
          <w:rFonts w:hint="eastAsia"/>
          <w14:scene3d>
            <w14:lightRig w14:rig="threePt" w14:dir="t">
              <w14:rot w14:lat="0" w14:lon="0" w14:rev="0"/>
            </w14:lightRig>
          </w14:scene3d>
        </w:rPr>
        <w:t>7.1</w:t>
      </w:r>
      <w:r>
        <w:rPr>
          <w:rStyle w:val="33"/>
          <w14:scene3d>
            <w14:lightRig w14:rig="threePt" w14:dir="t">
              <w14:rot w14:lat="0" w14:lon="0" w14:rev="0"/>
            </w14:lightRig>
          </w14:scene3d>
        </w:rPr>
        <w:t xml:space="preserve"> </w:t>
      </w:r>
      <w:r>
        <w:rPr>
          <w:rStyle w:val="33"/>
          <w:rFonts w:hint="eastAsia"/>
        </w:rPr>
        <w:t xml:space="preserve"> 监测与分析</w:t>
      </w:r>
      <w:r>
        <w:rPr>
          <w:rFonts w:hint="eastAsia"/>
        </w:rPr>
        <w:tab/>
      </w:r>
      <w:r>
        <w:rPr>
          <w:rFonts w:hint="eastAsia"/>
        </w:rPr>
        <w:fldChar w:fldCharType="begin"/>
      </w:r>
      <w:r>
        <w:rPr>
          <w:rFonts w:hint="eastAsia"/>
        </w:rPr>
        <w:instrText xml:space="preserve"> </w:instrText>
      </w:r>
      <w:r>
        <w:instrText xml:space="preserve">PAGEREF _Toc187500601 \h</w:instrText>
      </w:r>
      <w:r>
        <w:rPr>
          <w:rFonts w:hint="eastAsia"/>
        </w:rPr>
        <w:instrText xml:space="preserve"> </w:instrText>
      </w:r>
      <w:r>
        <w:fldChar w:fldCharType="separate"/>
      </w:r>
      <w:r>
        <w:t>3</w:t>
      </w:r>
      <w:r>
        <w:rPr>
          <w:rFonts w:hint="eastAsia"/>
        </w:rPr>
        <w:fldChar w:fldCharType="end"/>
      </w:r>
      <w:r>
        <w:rPr>
          <w:rFonts w:hint="eastAsia"/>
        </w:rPr>
        <w:fldChar w:fldCharType="end"/>
      </w:r>
    </w:p>
    <w:p>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"_Toc187500602" </w:instrText>
      </w:r>
      <w:r>
        <w:fldChar w:fldCharType="separate"/>
      </w:r>
      <w:r>
        <w:rPr>
          <w:rStyle w:val="33"/>
          <w:rFonts w:hint="eastAsia"/>
          <w14:scene3d>
            <w14:lightRig w14:rig="threePt" w14:dir="t">
              <w14:rot w14:lat="0" w14:lon="0" w14:rev="0"/>
            </w14:lightRig>
          </w14:scene3d>
        </w:rPr>
        <w:t>7.2</w:t>
      </w:r>
      <w:r>
        <w:rPr>
          <w:rStyle w:val="33"/>
          <w14:scene3d>
            <w14:lightRig w14:rig="threePt" w14:dir="t">
              <w14:rot w14:lat="0" w14:lon="0" w14:rev="0"/>
            </w14:lightRig>
          </w14:scene3d>
        </w:rPr>
        <w:t xml:space="preserve"> </w:t>
      </w:r>
      <w:r>
        <w:rPr>
          <w:rStyle w:val="33"/>
          <w:rFonts w:hint="eastAsia"/>
        </w:rPr>
        <w:t xml:space="preserve"> 管理</w:t>
      </w:r>
      <w:r>
        <w:rPr>
          <w:rFonts w:hint="eastAsia"/>
        </w:rPr>
        <w:tab/>
      </w:r>
      <w:r>
        <w:rPr>
          <w:rFonts w:hint="eastAsia"/>
        </w:rPr>
        <w:fldChar w:fldCharType="begin"/>
      </w:r>
      <w:r>
        <w:rPr>
          <w:rFonts w:hint="eastAsia"/>
        </w:rPr>
        <w:instrText xml:space="preserve"> </w:instrText>
      </w:r>
      <w:r>
        <w:instrText xml:space="preserve">PAGEREF _Toc187500602 \h</w:instrText>
      </w:r>
      <w:r>
        <w:rPr>
          <w:rFonts w:hint="eastAsia"/>
        </w:rPr>
        <w:instrText xml:space="preserve"> </w:instrText>
      </w:r>
      <w:r>
        <w:fldChar w:fldCharType="separate"/>
      </w:r>
      <w:r>
        <w:t>4</w:t>
      </w:r>
      <w:r>
        <w:rPr>
          <w:rFonts w:hint="eastAsia"/>
        </w:rPr>
        <w:fldChar w:fldCharType="end"/>
      </w:r>
      <w:r>
        <w:rPr>
          <w:rFonts w:hint="eastAsia"/>
        </w:rPr>
        <w:fldChar w:fldCharType="end"/>
      </w:r>
    </w:p>
    <w:p>
      <w:pPr>
        <w:pStyle w:val="24"/>
        <w:rPr>
          <w:rFonts w:hint="eastAsia" w:asciiTheme="minorHAnsi" w:hAnsiTheme="minorHAnsi" w:eastAsiaTheme="minorEastAsia" w:cstheme="minorBidi"/>
          <w:sz w:val="22"/>
          <w:szCs w:val="24"/>
          <w14:ligatures w14:val="standardContextual"/>
        </w:rPr>
      </w:pPr>
      <w:r>
        <w:fldChar w:fldCharType="begin"/>
      </w:r>
      <w:r>
        <w:instrText xml:space="preserve"> HYPERLINK \l "_Toc187500603" </w:instrText>
      </w:r>
      <w:r>
        <w:fldChar w:fldCharType="separate"/>
      </w:r>
      <w:r>
        <w:rPr>
          <w:rStyle w:val="33"/>
          <w:rFonts w:hint="eastAsia"/>
          <w14:scene3d>
            <w14:lightRig w14:rig="threePt" w14:dir="t">
              <w14:rot w14:lat="0" w14:lon="0" w14:rev="0"/>
            </w14:lightRig>
          </w14:scene3d>
        </w:rPr>
        <w:t>7.3</w:t>
      </w:r>
      <w:r>
        <w:rPr>
          <w:rStyle w:val="33"/>
          <w14:scene3d>
            <w14:lightRig w14:rig="threePt" w14:dir="t">
              <w14:rot w14:lat="0" w14:lon="0" w14:rev="0"/>
            </w14:lightRig>
          </w14:scene3d>
        </w:rPr>
        <w:t xml:space="preserve"> </w:t>
      </w:r>
      <w:r>
        <w:rPr>
          <w:rStyle w:val="33"/>
          <w:rFonts w:hint="eastAsia"/>
        </w:rPr>
        <w:t xml:space="preserve"> 评价</w:t>
      </w:r>
      <w:r>
        <w:rPr>
          <w:rFonts w:hint="eastAsia"/>
        </w:rPr>
        <w:tab/>
      </w:r>
      <w:r>
        <w:rPr>
          <w:rFonts w:hint="eastAsia"/>
        </w:rPr>
        <w:fldChar w:fldCharType="begin"/>
      </w:r>
      <w:r>
        <w:rPr>
          <w:rFonts w:hint="eastAsia"/>
        </w:rPr>
        <w:instrText xml:space="preserve"> </w:instrText>
      </w:r>
      <w:r>
        <w:instrText xml:space="preserve">PAGEREF _Toc187500603 \h</w:instrText>
      </w:r>
      <w:r>
        <w:rPr>
          <w:rFonts w:hint="eastAsia"/>
        </w:rPr>
        <w:instrText xml:space="preserve"> </w:instrText>
      </w:r>
      <w:r>
        <w:fldChar w:fldCharType="separate"/>
      </w:r>
      <w:r>
        <w:t>5</w:t>
      </w:r>
      <w:r>
        <w:rPr>
          <w:rFonts w:hint="eastAsia"/>
        </w:rPr>
        <w:fldChar w:fldCharType="end"/>
      </w:r>
      <w:r>
        <w:rPr>
          <w:rFonts w:hint="eastAsia"/>
        </w:rPr>
        <w:fldChar w:fldCharType="end"/>
      </w:r>
    </w:p>
    <w:p>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"_Toc187500604" </w:instrText>
      </w:r>
      <w:r>
        <w:fldChar w:fldCharType="separate"/>
      </w:r>
      <w:r>
        <w:rPr>
          <w:rStyle w:val="33"/>
          <w:rFonts w:hint="eastAsia"/>
        </w:rPr>
        <w:t>附录A（资料性）</w:t>
      </w:r>
      <w:r>
        <w:rPr>
          <w:rStyle w:val="33"/>
        </w:rPr>
        <w:t xml:space="preserve"> </w:t>
      </w:r>
      <w:r>
        <w:rPr>
          <w:rStyle w:val="33"/>
          <w:rFonts w:hint="eastAsia"/>
        </w:rPr>
        <w:t xml:space="preserve"> 污水处理工艺</w:t>
      </w:r>
      <w:r>
        <w:rPr>
          <w:rFonts w:hint="eastAsia"/>
        </w:rPr>
        <w:tab/>
      </w:r>
      <w:r>
        <w:rPr>
          <w:rFonts w:hint="eastAsia"/>
        </w:rPr>
        <w:fldChar w:fldCharType="begin"/>
      </w:r>
      <w:r>
        <w:rPr>
          <w:rFonts w:hint="eastAsia"/>
        </w:rPr>
        <w:instrText xml:space="preserve"> </w:instrText>
      </w:r>
      <w:r>
        <w:instrText xml:space="preserve">PAGEREF _Toc187500604 \h</w:instrText>
      </w:r>
      <w:r>
        <w:rPr>
          <w:rFonts w:hint="eastAsia"/>
        </w:rPr>
        <w:instrText xml:space="preserve"> </w:instrText>
      </w:r>
      <w:r>
        <w:fldChar w:fldCharType="separate"/>
      </w:r>
      <w:r>
        <w:t>6</w:t>
      </w:r>
      <w:r>
        <w:rPr>
          <w:rFonts w:hint="eastAsia"/>
        </w:rPr>
        <w:fldChar w:fldCharType="end"/>
      </w:r>
      <w:r>
        <w:rPr>
          <w:rFonts w:hint="eastAsia"/>
        </w:rPr>
        <w:fldChar w:fldCharType="end"/>
      </w:r>
    </w:p>
    <w:p>
      <w:pPr>
        <w:pStyle w:val="19"/>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"_Toc187500611" </w:instrText>
      </w:r>
      <w:r>
        <w:fldChar w:fldCharType="separate"/>
      </w:r>
      <w:r>
        <w:rPr>
          <w:rStyle w:val="33"/>
          <w:rFonts w:hint="eastAsia"/>
        </w:rPr>
        <w:t>参考文献</w:t>
      </w:r>
      <w:r>
        <w:rPr>
          <w:rFonts w:hint="eastAsia"/>
        </w:rPr>
        <w:tab/>
      </w:r>
      <w:r>
        <w:rPr>
          <w:rFonts w:hint="eastAsia"/>
        </w:rPr>
        <w:fldChar w:fldCharType="begin"/>
      </w:r>
      <w:r>
        <w:rPr>
          <w:rFonts w:hint="eastAsia"/>
        </w:rPr>
        <w:instrText xml:space="preserve"> </w:instrText>
      </w:r>
      <w:r>
        <w:instrText xml:space="preserve">PAGEREF _Toc187500611 \h</w:instrText>
      </w:r>
      <w:r>
        <w:rPr>
          <w:rFonts w:hint="eastAsia"/>
        </w:rPr>
        <w:instrText xml:space="preserve"> </w:instrText>
      </w:r>
      <w:r>
        <w:fldChar w:fldCharType="separate"/>
      </w:r>
      <w:r>
        <w:t>9</w:t>
      </w:r>
      <w:r>
        <w:rPr>
          <w:rFonts w:hint="eastAsia"/>
        </w:rPr>
        <w:fldChar w:fldCharType="end"/>
      </w:r>
      <w:r>
        <w:rPr>
          <w:rFonts w:hint="eastAsia"/>
        </w:rPr>
        <w:fldChar w:fldCharType="end"/>
      </w:r>
    </w:p>
    <w:p>
      <w:pPr>
        <w:pStyle w:val="92"/>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90"/>
        <w:spacing w:before="900" w:after="468"/>
      </w:pPr>
      <w:bookmarkStart w:id="22" w:name="_Toc187500590"/>
      <w:bookmarkStart w:id="23" w:name="BookMark2"/>
      <w:r>
        <w:rPr>
          <w:rFonts w:hint="eastAsia"/>
          <w:spacing w:val="320"/>
        </w:rPr>
        <w:t>前</w:t>
      </w:r>
      <w:r>
        <w:rPr>
          <w:rFonts w:hint="eastAsia"/>
        </w:rPr>
        <w:t>言</w:t>
      </w:r>
      <w:bookmarkEnd w:id="22"/>
    </w:p>
    <w:p>
      <w:pPr>
        <w:pStyle w:val="57"/>
        <w:ind w:firstLine="420"/>
      </w:pPr>
      <w:r>
        <w:rPr>
          <w:rFonts w:hint="eastAsia"/>
        </w:rPr>
        <w:t>本文件按照GB/T 1.1—2020《标准化工作导则  第1部分：标准化文件的结构和起草规则》的规定起草。</w:t>
      </w:r>
    </w:p>
    <w:p>
      <w:pPr>
        <w:pStyle w:val="57"/>
        <w:ind w:firstLine="420"/>
      </w:pPr>
      <w:r>
        <w:rPr>
          <w:rFonts w:hint="eastAsia"/>
        </w:rPr>
        <w:t>请注意本文件的某些内容可能涉及专利。本文件的发布机构不承担识别这些专利的责任。</w:t>
      </w:r>
    </w:p>
    <w:p>
      <w:pPr>
        <w:pStyle w:val="57"/>
        <w:ind w:firstLine="420"/>
      </w:pPr>
      <w:r>
        <w:rPr>
          <w:rFonts w:hint="eastAsia"/>
        </w:rPr>
        <w:t>本文件由河北省交通运输厅提出并归口。</w:t>
      </w:r>
    </w:p>
    <w:p>
      <w:pPr>
        <w:pStyle w:val="57"/>
        <w:ind w:firstLine="420"/>
      </w:pPr>
      <w:r>
        <w:rPr>
          <w:rFonts w:hint="eastAsia"/>
        </w:rPr>
        <w:t>本文件起草单位：国能黄骅港务有限责任公司。</w:t>
      </w:r>
    </w:p>
    <w:p>
      <w:pPr>
        <w:pStyle w:val="57"/>
        <w:ind w:firstLine="420"/>
      </w:pPr>
      <w:r>
        <w:rPr>
          <w:rFonts w:hint="eastAsia"/>
        </w:rPr>
        <w:t>本文件主要起草人：</w:t>
      </w:r>
      <w:r>
        <w:rPr>
          <w:rFonts w:hint="eastAsia"/>
          <w:lang w:val="en-US" w:eastAsia="zh-CN"/>
        </w:rPr>
        <w:t>刘建、</w:t>
      </w:r>
      <w:r>
        <w:rPr>
          <w:rFonts w:hint="eastAsia"/>
          <w:highlight w:val="none"/>
          <w:lang w:val="en-US" w:eastAsia="zh-CN"/>
        </w:rPr>
        <w:t>李冬、穆霄刚、邢承斌、刘鹏、张宝亮、马君、郭超凤、袁君玲、徐娜、王洪宾、田玉华、孙磊、高孟旻、刘亚丁、路颖铎、</w:t>
      </w:r>
      <w:r>
        <w:rPr>
          <w:rFonts w:hint="eastAsia"/>
          <w:lang w:val="en-US" w:eastAsia="zh-CN"/>
        </w:rPr>
        <w:t>马培松</w:t>
      </w:r>
      <w:r>
        <w:rPr>
          <w:rFonts w:hint="eastAsia"/>
        </w:rPr>
        <w:t>。</w:t>
      </w:r>
    </w:p>
    <w:p>
      <w:pPr>
        <w:pStyle w:val="57"/>
        <w:ind w:firstLine="420"/>
      </w:pPr>
    </w:p>
    <w:p>
      <w:pPr>
        <w:pStyle w:val="57"/>
        <w:ind w:firstLine="420"/>
      </w:pPr>
    </w:p>
    <w:p>
      <w:pPr>
        <w:pStyle w:val="57"/>
        <w:ind w:firstLine="420"/>
      </w:pPr>
    </w:p>
    <w:p>
      <w:pPr>
        <w:pStyle w:val="57"/>
        <w:ind w:firstLine="420"/>
        <w:sectPr>
          <w:pgSz w:w="11906" w:h="16838"/>
          <w:pgMar w:top="1928" w:right="1134" w:bottom="1134" w:left="1134" w:header="1418" w:footer="1134" w:gutter="284"/>
          <w:pgNumType w:fmt="upperRoman"/>
          <w:cols w:space="425" w:num="1"/>
          <w:formProt w:val="0"/>
          <w:docGrid w:type="lines" w:linePitch="312" w:charSpace="0"/>
        </w:sectPr>
      </w:pPr>
    </w:p>
    <w:bookmarkEnd w:id="23"/>
    <w:p>
      <w:pPr>
        <w:spacing w:line="20" w:lineRule="exact"/>
        <w:jc w:val="center"/>
        <w:rPr>
          <w:rFonts w:hint="eastAsia" w:ascii="黑体" w:hAnsi="黑体" w:eastAsia="黑体"/>
          <w:sz w:val="32"/>
          <w:szCs w:val="32"/>
        </w:rPr>
      </w:pPr>
      <w:bookmarkStart w:id="24" w:name="BookMark4"/>
    </w:p>
    <w:p>
      <w:pPr>
        <w:spacing w:line="20" w:lineRule="exact"/>
        <w:jc w:val="center"/>
        <w:rPr>
          <w:rFonts w:hint="eastAsia" w:ascii="黑体" w:hAnsi="黑体" w:eastAsia="黑体"/>
          <w:sz w:val="32"/>
          <w:szCs w:val="32"/>
        </w:rPr>
      </w:pPr>
    </w:p>
    <w:sdt>
      <w:sdtPr>
        <w:tag w:val="NEW_STAND_NAME"/>
        <w:id w:val="595910757"/>
        <w:lock w:val="sdtLocked"/>
        <w:placeholder>
          <w:docPart w:val="96D882E26F104EACBD769AE0C7B7625C"/>
        </w:placeholder>
      </w:sdtPr>
      <w:sdtContent>
        <w:p>
          <w:pPr>
            <w:pStyle w:val="178"/>
            <w:spacing w:before="312" w:beforeLines="100" w:after="686" w:afterLines="220"/>
            <w:rPr>
              <w:rFonts w:hint="eastAsia"/>
            </w:rPr>
          </w:pPr>
          <w:bookmarkStart w:id="25" w:name="NEW_STAND_NAME"/>
          <w:r>
            <w:rPr>
              <w:rFonts w:hint="eastAsia"/>
            </w:rPr>
            <w:t>港口再生水利用指南</w:t>
          </w:r>
        </w:p>
      </w:sdtContent>
    </w:sdt>
    <w:bookmarkEnd w:id="25"/>
    <w:p>
      <w:pPr>
        <w:pStyle w:val="105"/>
        <w:spacing w:before="312" w:after="312"/>
      </w:pPr>
      <w:bookmarkStart w:id="26" w:name="_Toc187500591"/>
      <w:bookmarkStart w:id="27" w:name="_Toc24884218"/>
      <w:bookmarkStart w:id="28" w:name="_Toc17233325"/>
      <w:bookmarkStart w:id="29" w:name="_Toc26986771"/>
      <w:bookmarkStart w:id="30" w:name="_Toc26718930"/>
      <w:bookmarkStart w:id="31" w:name="_Toc26986530"/>
      <w:bookmarkStart w:id="32" w:name="_Toc97191423"/>
      <w:bookmarkStart w:id="33" w:name="_Toc26648465"/>
      <w:bookmarkStart w:id="34" w:name="_Toc17233333"/>
      <w:bookmarkStart w:id="35" w:name="_Toc24884211"/>
      <w:r>
        <w:rPr>
          <w:rFonts w:hint="eastAsia"/>
        </w:rPr>
        <w:t>范围</w:t>
      </w:r>
      <w:bookmarkEnd w:id="26"/>
      <w:bookmarkEnd w:id="27"/>
      <w:bookmarkEnd w:id="28"/>
      <w:bookmarkEnd w:id="29"/>
      <w:bookmarkEnd w:id="30"/>
      <w:bookmarkEnd w:id="31"/>
      <w:bookmarkEnd w:id="32"/>
      <w:bookmarkEnd w:id="33"/>
      <w:bookmarkEnd w:id="34"/>
      <w:bookmarkEnd w:id="35"/>
    </w:p>
    <w:p>
      <w:pPr>
        <w:pStyle w:val="57"/>
        <w:ind w:firstLine="420"/>
      </w:pPr>
      <w:bookmarkStart w:id="36" w:name="_Toc26648466"/>
      <w:bookmarkStart w:id="37" w:name="_Toc24884212"/>
      <w:bookmarkStart w:id="38" w:name="_Toc17233334"/>
      <w:bookmarkStart w:id="39" w:name="_Toc17233326"/>
      <w:bookmarkStart w:id="40" w:name="_Toc24884219"/>
      <w:r>
        <w:rPr>
          <w:rFonts w:hint="eastAsia"/>
        </w:rPr>
        <w:t>本文件规定了港口再生水利用的基本要求、水源、再生水输配、监测、管理与评价等相关要求。</w:t>
      </w:r>
    </w:p>
    <w:p>
      <w:pPr>
        <w:pStyle w:val="57"/>
        <w:ind w:firstLine="420"/>
      </w:pPr>
      <w:r>
        <w:rPr>
          <w:rFonts w:hint="eastAsia"/>
        </w:rPr>
        <w:t>本文件适用于港口再生水的利用。</w:t>
      </w:r>
    </w:p>
    <w:p>
      <w:pPr>
        <w:pStyle w:val="105"/>
        <w:spacing w:before="312" w:after="312"/>
      </w:pPr>
      <w:bookmarkStart w:id="41" w:name="_Toc26986772"/>
      <w:bookmarkStart w:id="42" w:name="_Toc97191424"/>
      <w:bookmarkStart w:id="43" w:name="_Toc26986531"/>
      <w:bookmarkStart w:id="44" w:name="_Toc26718931"/>
      <w:bookmarkStart w:id="45" w:name="_Toc187500592"/>
      <w:r>
        <w:rPr>
          <w:rFonts w:hint="eastAsia"/>
        </w:rPr>
        <w:t>规范性引用文件</w:t>
      </w:r>
      <w:bookmarkEnd w:id="36"/>
      <w:bookmarkEnd w:id="37"/>
      <w:bookmarkEnd w:id="38"/>
      <w:bookmarkEnd w:id="39"/>
      <w:bookmarkEnd w:id="40"/>
      <w:bookmarkEnd w:id="41"/>
      <w:bookmarkEnd w:id="42"/>
      <w:bookmarkEnd w:id="43"/>
      <w:bookmarkEnd w:id="44"/>
      <w:bookmarkEnd w:id="45"/>
    </w:p>
    <w:sdt>
      <w:sdtPr>
        <w:rPr>
          <w:rFonts w:hint="eastAsia"/>
        </w:rPr>
        <w:id w:val="715848253"/>
        <w:placeholder>
          <w:docPart w:val="99D1D3387B5F4EC790D6CE0768F7A733"/>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7"/>
        <w:ind w:firstLine="420"/>
      </w:pPr>
      <w:r>
        <w:rPr>
          <w:rFonts w:hint="eastAsia"/>
        </w:rPr>
        <w:t>GB/T 18919 城市污水再生利用 分类</w:t>
      </w:r>
    </w:p>
    <w:p>
      <w:pPr>
        <w:pStyle w:val="57"/>
        <w:ind w:firstLine="420"/>
      </w:pPr>
      <w:r>
        <w:rPr>
          <w:rFonts w:hint="eastAsia"/>
        </w:rPr>
        <w:t xml:space="preserve">GB/T 18920 城市污水再生利用 城市杂用水水质 </w:t>
      </w:r>
    </w:p>
    <w:p>
      <w:pPr>
        <w:pStyle w:val="57"/>
        <w:ind w:firstLine="420"/>
      </w:pPr>
      <w:r>
        <w:rPr>
          <w:rFonts w:hint="eastAsia"/>
        </w:rPr>
        <w:t>GB/T 18921 城市污水再生利用 景观环境用水水质</w:t>
      </w:r>
    </w:p>
    <w:p>
      <w:pPr>
        <w:pStyle w:val="57"/>
        <w:ind w:firstLine="420"/>
      </w:pPr>
      <w:r>
        <w:rPr>
          <w:rFonts w:hint="eastAsia"/>
        </w:rPr>
        <w:t xml:space="preserve">GB/T 21534 节水用水 术语 </w:t>
      </w:r>
    </w:p>
    <w:p>
      <w:pPr>
        <w:pStyle w:val="57"/>
        <w:ind w:firstLine="420"/>
      </w:pPr>
      <w:r>
        <w:rPr>
          <w:rFonts w:hint="eastAsia"/>
        </w:rPr>
        <w:t>GB/T 31962 污水排入城镇下水道水质标准</w:t>
      </w:r>
    </w:p>
    <w:p>
      <w:pPr>
        <w:pStyle w:val="57"/>
        <w:ind w:firstLine="420"/>
      </w:pPr>
      <w:r>
        <w:rPr>
          <w:rFonts w:hint="eastAsia"/>
        </w:rPr>
        <w:t>GB/T 42247 水回用导则 再生水利用效益评价</w:t>
      </w:r>
    </w:p>
    <w:p>
      <w:pPr>
        <w:pStyle w:val="57"/>
        <w:ind w:firstLine="420"/>
      </w:pPr>
      <w:r>
        <w:rPr>
          <w:rFonts w:hint="eastAsia"/>
        </w:rPr>
        <w:t>GB 50014 室外排水设计标准</w:t>
      </w:r>
    </w:p>
    <w:p>
      <w:pPr>
        <w:pStyle w:val="57"/>
        <w:ind w:firstLine="420"/>
      </w:pPr>
      <w:r>
        <w:rPr>
          <w:rFonts w:hint="eastAsia"/>
        </w:rPr>
        <w:t>GB 50335 城镇污水再生利用工程设计规范</w:t>
      </w:r>
    </w:p>
    <w:p>
      <w:pPr>
        <w:pStyle w:val="57"/>
        <w:ind w:firstLine="420"/>
      </w:pPr>
      <w:r>
        <w:rPr>
          <w:rFonts w:hint="eastAsia"/>
        </w:rPr>
        <w:t>HJ 607 废矿物油回收利用污染控制技术规范</w:t>
      </w:r>
    </w:p>
    <w:p>
      <w:pPr>
        <w:pStyle w:val="57"/>
        <w:ind w:firstLine="420"/>
      </w:pPr>
      <w:r>
        <w:rPr>
          <w:rFonts w:hint="eastAsia"/>
        </w:rPr>
        <w:t>JT/T 879 港口、码头、装卸站和船舶修造、拆解单位船舶污染物接收能力要求</w:t>
      </w:r>
    </w:p>
    <w:p>
      <w:pPr>
        <w:pStyle w:val="57"/>
        <w:ind w:firstLine="420"/>
      </w:pPr>
      <w:r>
        <w:rPr>
          <w:rFonts w:hint="eastAsia"/>
        </w:rPr>
        <w:t>JTS 149 水运工程环境保护设计规范</w:t>
      </w:r>
    </w:p>
    <w:p>
      <w:pPr>
        <w:pStyle w:val="57"/>
        <w:ind w:firstLine="420"/>
      </w:pPr>
      <w:r>
        <w:rPr>
          <w:rFonts w:hint="eastAsia"/>
        </w:rPr>
        <w:t>JTS 156 煤炭矿石码头粉尘控制设计规范</w:t>
      </w:r>
    </w:p>
    <w:p>
      <w:pPr>
        <w:pStyle w:val="105"/>
        <w:spacing w:before="312" w:after="312"/>
      </w:pPr>
      <w:bookmarkStart w:id="46" w:name="_Toc187500593"/>
      <w:bookmarkStart w:id="47" w:name="_Toc97191425"/>
      <w:r>
        <w:rPr>
          <w:rFonts w:hint="eastAsia"/>
          <w:szCs w:val="21"/>
        </w:rPr>
        <w:t>术语和定义</w:t>
      </w:r>
      <w:bookmarkEnd w:id="46"/>
      <w:bookmarkEnd w:id="47"/>
    </w:p>
    <w:sdt>
      <w:sdtPr>
        <w:id w:val="-1909835108"/>
        <w:placeholder>
          <w:docPart w:val="0BB8AED922504576AC5C0EE26398A32A"/>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7"/>
            <w:ind w:firstLine="420"/>
          </w:pPr>
          <w:bookmarkStart w:id="48" w:name="_Toc26986532"/>
          <w:bookmarkEnd w:id="48"/>
          <w:r>
            <w:rPr>
              <w:rFonts w:hint="eastAsia"/>
            </w:rPr>
            <w:t>GB/T 21534和GB/T 18919</w:t>
          </w:r>
          <w:r>
            <w:t>界定的以及下列术语和定义适用于本文件。</w:t>
          </w:r>
        </w:p>
      </w:sdtContent>
    </w:sdt>
    <w:p>
      <w:pPr>
        <w:pStyle w:val="224"/>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再生水 reclaimed water</w:t>
      </w:r>
    </w:p>
    <w:p>
      <w:pPr>
        <w:pStyle w:val="57"/>
        <w:ind w:firstLine="420"/>
        <w:rPr>
          <w:rFonts w:hint="eastAsia"/>
        </w:rPr>
      </w:pPr>
      <w:r>
        <w:rPr>
          <w:rFonts w:hint="eastAsia"/>
        </w:rPr>
        <w:t>经过处理后，满足某种用途的水质标准和要求，可以再次利用的污（废）水。</w:t>
      </w:r>
    </w:p>
    <w:p>
      <w:pPr>
        <w:pStyle w:val="224"/>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港口原水 raw water</w:t>
      </w:r>
    </w:p>
    <w:p>
      <w:pPr>
        <w:pStyle w:val="57"/>
        <w:ind w:firstLine="420"/>
        <w:rPr>
          <w:rFonts w:hint="eastAsia"/>
        </w:rPr>
      </w:pPr>
      <w:r>
        <w:rPr>
          <w:rFonts w:hint="eastAsia"/>
        </w:rPr>
        <w:t>港口生活污水、煤污水、矿石污水、含油污水、雨水、船舶压舱淡水等港口再生利用的进水水源。</w:t>
      </w:r>
    </w:p>
    <w:p>
      <w:pPr>
        <w:pStyle w:val="224"/>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港口再生水 reclaimed water</w:t>
      </w:r>
    </w:p>
    <w:p>
      <w:pPr>
        <w:pStyle w:val="57"/>
        <w:ind w:firstLine="420"/>
        <w:rPr>
          <w:rFonts w:hint="eastAsia"/>
        </w:rPr>
      </w:pPr>
      <w:r>
        <w:rPr>
          <w:rFonts w:hint="eastAsia"/>
        </w:rPr>
        <w:t>港口原水经适当再生工艺处理后，达到一定水质要求，满足港口生产用水、辅助用水、景观用水等使用功能，可以进行有益使用的水。</w:t>
      </w:r>
    </w:p>
    <w:p>
      <w:pPr>
        <w:pStyle w:val="224"/>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生产用水 washing water</w:t>
      </w:r>
    </w:p>
    <w:p>
      <w:pPr>
        <w:pStyle w:val="57"/>
        <w:ind w:firstLine="420"/>
        <w:rPr>
          <w:rFonts w:hint="eastAsia"/>
        </w:rPr>
      </w:pPr>
      <w:r>
        <w:rPr>
          <w:rFonts w:hint="eastAsia"/>
        </w:rPr>
        <w:t>生产过程中，用于洒水抑尘、设备冲洗等的水的总称。</w:t>
      </w:r>
    </w:p>
    <w:p>
      <w:pPr>
        <w:pStyle w:val="224"/>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辅助用水 washing water</w:t>
      </w:r>
    </w:p>
    <w:p>
      <w:pPr>
        <w:pStyle w:val="57"/>
        <w:ind w:firstLine="420"/>
        <w:rPr>
          <w:rFonts w:hint="eastAsia"/>
        </w:rPr>
      </w:pPr>
      <w:r>
        <w:rPr>
          <w:rFonts w:hint="eastAsia"/>
        </w:rPr>
        <w:t>用于冲厕、绿化、道路清扫、消防等的水的总称。</w:t>
      </w:r>
    </w:p>
    <w:p>
      <w:pPr>
        <w:pStyle w:val="224"/>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景观环境用水 recycling water for scenic environment use</w:t>
      </w:r>
    </w:p>
    <w:p>
      <w:pPr>
        <w:pStyle w:val="57"/>
        <w:ind w:firstLine="420"/>
        <w:rPr>
          <w:rFonts w:hint="eastAsia"/>
        </w:rPr>
      </w:pPr>
      <w:r>
        <w:rPr>
          <w:rFonts w:hint="eastAsia"/>
        </w:rPr>
        <w:t>满足景观环境功能需要的用水，即用于营造和维持观赏性和娱乐性景观水体、湿地环境和各种水景构筑物的水的总称。</w:t>
      </w:r>
    </w:p>
    <w:p>
      <w:pPr>
        <w:pStyle w:val="224"/>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供水系统 water supply system </w:t>
      </w:r>
    </w:p>
    <w:p>
      <w:pPr>
        <w:pStyle w:val="57"/>
        <w:ind w:firstLine="420"/>
      </w:pPr>
      <w:r>
        <w:rPr>
          <w:rFonts w:hint="eastAsia"/>
        </w:rPr>
        <w:t>将再生水从处理设施输送至用水点，以满足港口生产及辅助用水、景观环境用水要求，一般由管道、储水设施、泵和其他附属设施组成。</w:t>
      </w:r>
    </w:p>
    <w:p>
      <w:pPr>
        <w:pStyle w:val="105"/>
        <w:spacing w:before="312" w:after="312"/>
        <w:rPr>
          <w:rFonts w:hint="eastAsia"/>
        </w:rPr>
      </w:pPr>
      <w:bookmarkStart w:id="49" w:name="_Toc187500594"/>
      <w:r>
        <w:rPr>
          <w:rFonts w:hint="eastAsia"/>
        </w:rPr>
        <w:t>4 基本要求</w:t>
      </w:r>
      <w:bookmarkEnd w:id="49"/>
    </w:p>
    <w:p>
      <w:pPr>
        <w:pStyle w:val="163"/>
        <w:rPr>
          <w:rFonts w:hint="eastAsia"/>
        </w:rPr>
      </w:pPr>
      <w:r>
        <w:rPr>
          <w:rFonts w:hint="eastAsia"/>
        </w:rPr>
        <w:t>港口再生水利用应做好前期调查工作，根据原水水质、水量和再生水回用需求、利用便利性及效益评价，合理规划和建设再生水供水设施、排水设施、水处理和循环利用设施，推动分质用水。</w:t>
      </w:r>
    </w:p>
    <w:p>
      <w:pPr>
        <w:pStyle w:val="163"/>
        <w:rPr>
          <w:rFonts w:hint="eastAsia"/>
        </w:rPr>
      </w:pPr>
      <w:r>
        <w:rPr>
          <w:rFonts w:hint="eastAsia"/>
        </w:rPr>
        <w:t>港口再生水利用处理工艺的选择应因地制宜选择可靠先进、经济合理的技术方案，并宜通过再生水利用试验或者借鉴已建工程的运行经验等验证其可行性。</w:t>
      </w:r>
    </w:p>
    <w:p>
      <w:pPr>
        <w:pStyle w:val="163"/>
        <w:rPr>
          <w:rFonts w:hint="eastAsia"/>
        </w:rPr>
      </w:pPr>
      <w:r>
        <w:rPr>
          <w:rFonts w:hint="eastAsia"/>
        </w:rPr>
        <w:t>港口矿石污水、含煤污水再生利用产生的矿泥、煤泥宜回收处理利用；生活污水再生利用过程产生的污泥与浓缩废液的处理、处置应符合GB 50014的规定；含油污水再生利用过程产生的含油污泥的处理、处置应符合HJ 607的规定。</w:t>
      </w:r>
    </w:p>
    <w:p>
      <w:pPr>
        <w:pStyle w:val="163"/>
        <w:rPr>
          <w:rFonts w:hint="eastAsia"/>
        </w:rPr>
      </w:pPr>
      <w:r>
        <w:rPr>
          <w:rFonts w:hint="eastAsia"/>
        </w:rPr>
        <w:t>港口再生水利用应符合本文件5.2条的水质要求。</w:t>
      </w:r>
    </w:p>
    <w:p>
      <w:pPr>
        <w:pStyle w:val="163"/>
        <w:rPr>
          <w:rFonts w:hint="eastAsia"/>
        </w:rPr>
      </w:pPr>
      <w:r>
        <w:rPr>
          <w:rFonts w:hint="eastAsia"/>
        </w:rPr>
        <w:t>港口对再生水有更高水质要求时，应对再生水进行深度处理，保障再生水利用的可靠性和稳定性。</w:t>
      </w:r>
    </w:p>
    <w:p>
      <w:pPr>
        <w:pStyle w:val="163"/>
        <w:rPr>
          <w:rFonts w:hint="eastAsia"/>
        </w:rPr>
      </w:pPr>
      <w:r>
        <w:rPr>
          <w:rFonts w:hint="eastAsia"/>
        </w:rPr>
        <w:t>港口再生水处理站出水口应建立完善的水量、水质监测系统，条件许可时，进水口宜建立水量水质监测系统。</w:t>
      </w:r>
    </w:p>
    <w:p>
      <w:pPr>
        <w:pStyle w:val="163"/>
      </w:pPr>
      <w:r>
        <w:rPr>
          <w:rFonts w:hint="eastAsia"/>
        </w:rPr>
        <w:t>港口再生水处理站应实现机械化、自动化，逐步实现智能化。</w:t>
      </w:r>
    </w:p>
    <w:p>
      <w:pPr>
        <w:pStyle w:val="105"/>
        <w:spacing w:before="312" w:after="312"/>
        <w:rPr>
          <w:rFonts w:hint="eastAsia"/>
        </w:rPr>
      </w:pPr>
      <w:bookmarkStart w:id="50" w:name="_Toc187500595"/>
      <w:r>
        <w:rPr>
          <w:rFonts w:hint="eastAsia"/>
        </w:rPr>
        <w:t>技术要求</w:t>
      </w:r>
      <w:bookmarkEnd w:id="50"/>
    </w:p>
    <w:p>
      <w:pPr>
        <w:pStyle w:val="106"/>
        <w:spacing w:before="156" w:after="156"/>
        <w:rPr>
          <w:rFonts w:hint="eastAsia"/>
        </w:rPr>
      </w:pPr>
      <w:bookmarkStart w:id="51" w:name="_Toc187500596"/>
      <w:r>
        <w:rPr>
          <w:rFonts w:hint="eastAsia"/>
        </w:rPr>
        <w:t>原水</w:t>
      </w:r>
      <w:bookmarkEnd w:id="51"/>
    </w:p>
    <w:p>
      <w:pPr>
        <w:pStyle w:val="166"/>
        <w:rPr>
          <w:rFonts w:hint="eastAsia"/>
        </w:rPr>
      </w:pPr>
      <w:r>
        <w:rPr>
          <w:rFonts w:hint="eastAsia"/>
        </w:rPr>
        <w:t>原水进水水质应综合考虑现状水质和预期水质变化情况确定。当缺乏实测资料或现有资料不足时，煤污水和矿石污水进水悬浮物含量范围可取为1000~3000 mg/L，含油污水的含油量范围可取为2000~ 20000 mg/L，生活污水生化需氧量（BOD5）范围可取为150~300mg/L，悬浮物浓度范围可取为350~500mg/L。</w:t>
      </w:r>
    </w:p>
    <w:p>
      <w:pPr>
        <w:pStyle w:val="166"/>
        <w:rPr>
          <w:rFonts w:hint="eastAsia"/>
        </w:rPr>
      </w:pPr>
      <w:r>
        <w:rPr>
          <w:rFonts w:hint="eastAsia"/>
        </w:rPr>
        <w:t>污水处理站设计水量应根据产生的污水量和需水量综合比较后确定，并应符合JTS 149、JTS 156、JT/T 879的规定。煤污水和矿石污水设计水量应按照生产产生的污水量与设计雨水量比较后确定，取两者中的大值，生活污水量可按生活用水量80%～90%测算。</w:t>
      </w:r>
    </w:p>
    <w:p>
      <w:pPr>
        <w:pStyle w:val="106"/>
        <w:spacing w:before="156" w:after="156"/>
        <w:rPr>
          <w:rFonts w:hint="eastAsia"/>
        </w:rPr>
      </w:pPr>
      <w:bookmarkStart w:id="52" w:name="_Toc187500597"/>
      <w:r>
        <w:rPr>
          <w:rFonts w:hint="eastAsia"/>
        </w:rPr>
        <w:t>再生水</w:t>
      </w:r>
      <w:bookmarkEnd w:id="52"/>
    </w:p>
    <w:p>
      <w:pPr>
        <w:pStyle w:val="66"/>
        <w:spacing w:before="156" w:after="156"/>
        <w:rPr>
          <w:rFonts w:hint="eastAsia"/>
        </w:rPr>
      </w:pPr>
      <w:r>
        <w:rPr>
          <w:rFonts w:hint="eastAsia"/>
        </w:rPr>
        <w:t>再生水用涂</w:t>
      </w:r>
    </w:p>
    <w:p>
      <w:pPr>
        <w:pStyle w:val="57"/>
        <w:ind w:firstLine="420"/>
        <w:rPr>
          <w:rFonts w:hint="eastAsia"/>
        </w:rPr>
      </w:pPr>
      <w:r>
        <w:rPr>
          <w:rFonts w:hint="eastAsia"/>
        </w:rPr>
        <w:t>港口再生水利用途径包括港口生产用水、辅助用水、景观环境用水等，港口应以分质用水、经济、高效为原则，合理确定再生水用途。</w:t>
      </w:r>
    </w:p>
    <w:p>
      <w:pPr>
        <w:pStyle w:val="66"/>
        <w:spacing w:before="156" w:after="156"/>
        <w:rPr>
          <w:rFonts w:hint="eastAsia"/>
        </w:rPr>
      </w:pPr>
      <w:r>
        <w:rPr>
          <w:rFonts w:hint="eastAsia"/>
        </w:rPr>
        <w:t>再生水水质</w:t>
      </w:r>
    </w:p>
    <w:p>
      <w:pPr>
        <w:pStyle w:val="165"/>
      </w:pPr>
      <w:r>
        <w:rPr>
          <w:rFonts w:hint="eastAsia"/>
        </w:rPr>
        <w:t>港口污水资源化利用作堆场洒水、作业区冲洗用水等港口生产用水，其水质不宜超过表1中的规定。</w:t>
      </w:r>
    </w:p>
    <w:p>
      <w:pPr>
        <w:pStyle w:val="113"/>
        <w:spacing w:before="156" w:after="156"/>
        <w:rPr>
          <w:rFonts w:hint="eastAsia"/>
        </w:rPr>
      </w:pPr>
      <w:r>
        <w:rPr>
          <w:rFonts w:hint="eastAsia"/>
        </w:rPr>
        <w:t>生产用水水质表</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Layout w:type="autofit"/>
        <w:tblCellMar>
          <w:top w:w="0" w:type="dxa"/>
          <w:left w:w="0" w:type="dxa"/>
          <w:bottom w:w="0" w:type="dxa"/>
          <w:right w:w="0" w:type="dxa"/>
        </w:tblCellMar>
      </w:tblPr>
      <w:tblGrid>
        <w:gridCol w:w="983"/>
        <w:gridCol w:w="1134"/>
        <w:gridCol w:w="1134"/>
        <w:gridCol w:w="1415"/>
        <w:gridCol w:w="1168"/>
        <w:gridCol w:w="1167"/>
        <w:gridCol w:w="116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blHeader/>
          <w:jc w:val="center"/>
        </w:trPr>
        <w:tc>
          <w:tcPr>
            <w:tcW w:w="983" w:type="dxa"/>
            <w:shd w:val="clear" w:color="auto" w:fill="auto"/>
            <w:vAlign w:val="center"/>
          </w:tcPr>
          <w:p>
            <w:pPr>
              <w:pStyle w:val="179"/>
              <w:rPr>
                <w:rFonts w:hint="eastAsia"/>
              </w:rPr>
            </w:pPr>
            <w:r>
              <w:rPr>
                <w:rFonts w:hint="eastAsia"/>
              </w:rPr>
              <w:t>pH值</w:t>
            </w:r>
          </w:p>
        </w:tc>
        <w:tc>
          <w:tcPr>
            <w:tcW w:w="1134" w:type="dxa"/>
            <w:shd w:val="clear" w:color="auto" w:fill="auto"/>
            <w:vAlign w:val="center"/>
          </w:tcPr>
          <w:p>
            <w:pPr>
              <w:pStyle w:val="179"/>
              <w:rPr>
                <w:rFonts w:hint="eastAsia"/>
              </w:rPr>
            </w:pPr>
            <w:r>
              <w:rPr>
                <w:rFonts w:hint="eastAsia"/>
              </w:rPr>
              <w:t>色度</w:t>
            </w:r>
          </w:p>
          <w:p>
            <w:pPr>
              <w:pStyle w:val="179"/>
              <w:rPr>
                <w:rFonts w:hint="eastAsia"/>
              </w:rPr>
            </w:pPr>
            <w:r>
              <w:rPr>
                <w:rFonts w:hint="eastAsia"/>
              </w:rPr>
              <w:t>（稀释倍数）</w:t>
            </w:r>
          </w:p>
        </w:tc>
        <w:tc>
          <w:tcPr>
            <w:tcW w:w="1134" w:type="dxa"/>
            <w:shd w:val="clear" w:color="auto" w:fill="auto"/>
            <w:vAlign w:val="center"/>
          </w:tcPr>
          <w:p>
            <w:pPr>
              <w:pStyle w:val="179"/>
              <w:rPr>
                <w:rFonts w:hint="eastAsia"/>
              </w:rPr>
            </w:pPr>
            <w:r>
              <w:rPr>
                <w:rFonts w:hint="eastAsia"/>
              </w:rPr>
              <w:t>悬浮物</w:t>
            </w:r>
          </w:p>
          <w:p>
            <w:pPr>
              <w:pStyle w:val="179"/>
              <w:rPr>
                <w:rFonts w:hint="eastAsia"/>
              </w:rPr>
            </w:pPr>
            <w:r>
              <w:t>SS/(mg/L)</w:t>
            </w:r>
          </w:p>
        </w:tc>
        <w:tc>
          <w:tcPr>
            <w:tcW w:w="1415" w:type="dxa"/>
            <w:shd w:val="clear" w:color="auto" w:fill="auto"/>
            <w:vAlign w:val="center"/>
          </w:tcPr>
          <w:p>
            <w:pPr>
              <w:pStyle w:val="179"/>
              <w:rPr>
                <w:rFonts w:hint="eastAsia"/>
              </w:rPr>
            </w:pPr>
            <w:r>
              <w:rPr>
                <w:rFonts w:hint="eastAsia"/>
              </w:rPr>
              <w:t>五日生化需氧量BOD5 /(mg/L)</w:t>
            </w:r>
          </w:p>
        </w:tc>
        <w:tc>
          <w:tcPr>
            <w:tcW w:w="1168" w:type="dxa"/>
            <w:shd w:val="clear" w:color="auto" w:fill="auto"/>
            <w:vAlign w:val="center"/>
          </w:tcPr>
          <w:p>
            <w:pPr>
              <w:pStyle w:val="179"/>
              <w:rPr>
                <w:rFonts w:hint="eastAsia"/>
              </w:rPr>
            </w:pPr>
            <w:r>
              <w:rPr>
                <w:rFonts w:hint="eastAsia"/>
              </w:rPr>
              <w:t>化学需氧量</w:t>
            </w:r>
          </w:p>
          <w:p>
            <w:pPr>
              <w:pStyle w:val="179"/>
              <w:rPr>
                <w:rFonts w:hint="eastAsia"/>
              </w:rPr>
            </w:pPr>
            <w:r>
              <w:t>CODcr/(mg/L)</w:t>
            </w:r>
          </w:p>
        </w:tc>
        <w:tc>
          <w:tcPr>
            <w:tcW w:w="1167" w:type="dxa"/>
            <w:shd w:val="clear" w:color="auto" w:fill="auto"/>
            <w:vAlign w:val="center"/>
          </w:tcPr>
          <w:p>
            <w:pPr>
              <w:pStyle w:val="179"/>
              <w:rPr>
                <w:rFonts w:hint="eastAsia"/>
              </w:rPr>
            </w:pPr>
            <w:r>
              <w:rPr>
                <w:rFonts w:hint="eastAsia"/>
              </w:rPr>
              <w:t>石油类</w:t>
            </w:r>
          </w:p>
          <w:p>
            <w:pPr>
              <w:pStyle w:val="179"/>
              <w:rPr>
                <w:rFonts w:hint="eastAsia"/>
              </w:rPr>
            </w:pPr>
            <w:r>
              <w:t>(mg/L)</w:t>
            </w:r>
          </w:p>
        </w:tc>
        <w:tc>
          <w:tcPr>
            <w:tcW w:w="1166" w:type="dxa"/>
            <w:shd w:val="clear" w:color="auto" w:fill="auto"/>
            <w:vAlign w:val="center"/>
          </w:tcPr>
          <w:p>
            <w:pPr>
              <w:pStyle w:val="179"/>
              <w:rPr>
                <w:rFonts w:hint="eastAsia"/>
              </w:rPr>
            </w:pPr>
            <w:r>
              <w:rPr>
                <w:rFonts w:hint="eastAsia"/>
              </w:rPr>
              <w:t>粪大肠菌群数(个/L)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jc w:val="center"/>
        </w:trPr>
        <w:tc>
          <w:tcPr>
            <w:tcW w:w="983" w:type="dxa"/>
            <w:shd w:val="clear" w:color="auto" w:fill="auto"/>
            <w:vAlign w:val="center"/>
          </w:tcPr>
          <w:p>
            <w:pPr>
              <w:pStyle w:val="179"/>
              <w:rPr>
                <w:rFonts w:hint="eastAsia"/>
              </w:rPr>
            </w:pPr>
            <w:r>
              <w:rPr>
                <w:rFonts w:hint="eastAsia"/>
              </w:rPr>
              <w:t>6～9</w:t>
            </w:r>
          </w:p>
        </w:tc>
        <w:tc>
          <w:tcPr>
            <w:tcW w:w="1134" w:type="dxa"/>
            <w:shd w:val="clear" w:color="auto" w:fill="auto"/>
            <w:vAlign w:val="center"/>
          </w:tcPr>
          <w:p>
            <w:pPr>
              <w:pStyle w:val="179"/>
              <w:rPr>
                <w:rFonts w:hint="eastAsia"/>
              </w:rPr>
            </w:pPr>
            <w:r>
              <w:rPr>
                <w:rFonts w:hint="eastAsia"/>
              </w:rPr>
              <w:t>80</w:t>
            </w:r>
          </w:p>
        </w:tc>
        <w:tc>
          <w:tcPr>
            <w:tcW w:w="1134" w:type="dxa"/>
            <w:shd w:val="clear" w:color="auto" w:fill="auto"/>
            <w:vAlign w:val="center"/>
          </w:tcPr>
          <w:p>
            <w:pPr>
              <w:pStyle w:val="179"/>
              <w:rPr>
                <w:rFonts w:hint="eastAsia"/>
              </w:rPr>
            </w:pPr>
            <w:r>
              <w:rPr>
                <w:rFonts w:hint="eastAsia"/>
              </w:rPr>
              <w:t>150</w:t>
            </w:r>
          </w:p>
        </w:tc>
        <w:tc>
          <w:tcPr>
            <w:tcW w:w="1415" w:type="dxa"/>
            <w:shd w:val="clear" w:color="auto" w:fill="auto"/>
            <w:vAlign w:val="center"/>
          </w:tcPr>
          <w:p>
            <w:pPr>
              <w:pStyle w:val="179"/>
              <w:rPr>
                <w:rFonts w:hint="eastAsia"/>
              </w:rPr>
            </w:pPr>
            <w:r>
              <w:rPr>
                <w:rFonts w:hint="eastAsia"/>
              </w:rPr>
              <w:t>30</w:t>
            </w:r>
          </w:p>
        </w:tc>
        <w:tc>
          <w:tcPr>
            <w:tcW w:w="1168" w:type="dxa"/>
            <w:shd w:val="clear" w:color="auto" w:fill="auto"/>
            <w:vAlign w:val="center"/>
          </w:tcPr>
          <w:p>
            <w:pPr>
              <w:pStyle w:val="179"/>
              <w:rPr>
                <w:rFonts w:hint="eastAsia"/>
              </w:rPr>
            </w:pPr>
            <w:r>
              <w:rPr>
                <w:rFonts w:hint="eastAsia"/>
              </w:rPr>
              <w:t>150</w:t>
            </w:r>
          </w:p>
        </w:tc>
        <w:tc>
          <w:tcPr>
            <w:tcW w:w="1167" w:type="dxa"/>
            <w:shd w:val="clear" w:color="auto" w:fill="auto"/>
            <w:vAlign w:val="center"/>
          </w:tcPr>
          <w:p>
            <w:pPr>
              <w:pStyle w:val="179"/>
              <w:rPr>
                <w:rFonts w:hint="eastAsia"/>
              </w:rPr>
            </w:pPr>
            <w:r>
              <w:rPr>
                <w:rFonts w:hint="eastAsia"/>
              </w:rPr>
              <w:t>10</w:t>
            </w:r>
          </w:p>
        </w:tc>
        <w:tc>
          <w:tcPr>
            <w:tcW w:w="1166" w:type="dxa"/>
            <w:shd w:val="clear" w:color="auto" w:fill="auto"/>
            <w:vAlign w:val="center"/>
          </w:tcPr>
          <w:p>
            <w:pPr>
              <w:pStyle w:val="179"/>
              <w:rPr>
                <w:rFonts w:hint="eastAsia"/>
              </w:rPr>
            </w:pPr>
            <w:r>
              <w:rPr>
                <w:rFonts w:hint="eastAsia"/>
              </w:rPr>
              <w:t>2000</w:t>
            </w:r>
          </w:p>
        </w:tc>
      </w:tr>
    </w:tbl>
    <w:p>
      <w:pPr>
        <w:pStyle w:val="165"/>
        <w:rPr>
          <w:rFonts w:hint="eastAsia"/>
        </w:rPr>
      </w:pPr>
      <w:r>
        <w:rPr>
          <w:rFonts w:hint="eastAsia"/>
        </w:rPr>
        <w:t>港口污水资源化利用作冲厕、车辆冲洗、绿化、道路清扫、消防和机修间等辅助用水，其水质应符合GB/T 18920规定。</w:t>
      </w:r>
    </w:p>
    <w:p>
      <w:pPr>
        <w:pStyle w:val="165"/>
        <w:rPr>
          <w:rFonts w:hint="eastAsia"/>
        </w:rPr>
      </w:pPr>
      <w:r>
        <w:rPr>
          <w:rFonts w:hint="eastAsia"/>
        </w:rPr>
        <w:t>港口污水资源化利用作景观水体环境用水，其水质应符合GB/T 18921规定。</w:t>
      </w:r>
    </w:p>
    <w:p>
      <w:pPr>
        <w:pStyle w:val="106"/>
        <w:spacing w:before="156" w:after="156"/>
        <w:rPr>
          <w:rFonts w:hint="eastAsia"/>
        </w:rPr>
      </w:pPr>
      <w:bookmarkStart w:id="53" w:name="_Toc187500598"/>
      <w:r>
        <w:rPr>
          <w:rFonts w:hint="eastAsia"/>
        </w:rPr>
        <w:t>再生水处理工艺</w:t>
      </w:r>
      <w:bookmarkEnd w:id="53"/>
    </w:p>
    <w:p>
      <w:pPr>
        <w:pStyle w:val="57"/>
        <w:ind w:firstLine="420"/>
        <w:rPr>
          <w:rFonts w:hint="eastAsia"/>
        </w:rPr>
      </w:pPr>
      <w:r>
        <w:rPr>
          <w:rFonts w:hint="eastAsia"/>
        </w:rPr>
        <w:t>再生水处理应分析不同的原水水源水质水量情况，根据再生水水质要求，选择适宜的处理工艺，处理工艺流程参见附录A。</w:t>
      </w:r>
    </w:p>
    <w:p>
      <w:pPr>
        <w:pStyle w:val="105"/>
        <w:spacing w:before="312" w:after="312"/>
      </w:pPr>
      <w:bookmarkStart w:id="54" w:name="_Toc187500599"/>
      <w:r>
        <w:rPr>
          <w:rFonts w:hint="eastAsia"/>
        </w:rPr>
        <w:t>再生水输配</w:t>
      </w:r>
      <w:bookmarkEnd w:id="54"/>
    </w:p>
    <w:p>
      <w:pPr>
        <w:pStyle w:val="163"/>
        <w:rPr>
          <w:rFonts w:hint="eastAsia"/>
        </w:rPr>
      </w:pPr>
      <w:r>
        <w:rPr>
          <w:rFonts w:hint="eastAsia"/>
        </w:rPr>
        <w:t>港口再生水输配管网应采用独立系统，不应与生活用水管道连接。宜根据实际需求设置港口再生水储存设施，包括但不限于清水池、人工生态湖泊等。</w:t>
      </w:r>
    </w:p>
    <w:p>
      <w:pPr>
        <w:pStyle w:val="163"/>
        <w:rPr>
          <w:rFonts w:hint="eastAsia"/>
        </w:rPr>
      </w:pPr>
      <w:r>
        <w:rPr>
          <w:rFonts w:hint="eastAsia"/>
        </w:rPr>
        <w:t>港口再生水输配管网的布局应综合考虑再生水水源和用水部门分布，统筹规划。</w:t>
      </w:r>
    </w:p>
    <w:p>
      <w:pPr>
        <w:pStyle w:val="163"/>
        <w:rPr>
          <w:rFonts w:hint="eastAsia"/>
        </w:rPr>
      </w:pPr>
      <w:r>
        <w:rPr>
          <w:rFonts w:hint="eastAsia"/>
        </w:rPr>
        <w:t>港口再生水输配管网平面和竖向布置、管道水力计算、管道敷设及附属设施设置应符合 GB 50335 的规定。</w:t>
      </w:r>
    </w:p>
    <w:p>
      <w:pPr>
        <w:pStyle w:val="163"/>
        <w:rPr>
          <w:rFonts w:hint="eastAsia"/>
        </w:rPr>
      </w:pPr>
      <w:r>
        <w:rPr>
          <w:rFonts w:hint="eastAsia"/>
        </w:rPr>
        <w:t>港口再生水管道管材的选择应综合考虑水质、水量、水压、外部荷载、地质情况、施工维护等条件。可采用塑料管、钢管及球墨铸铁管等，采用钢管及球墨铸铁管时应进行管道防腐。</w:t>
      </w:r>
    </w:p>
    <w:p>
      <w:pPr>
        <w:pStyle w:val="163"/>
        <w:rPr>
          <w:rFonts w:hint="eastAsia"/>
        </w:rPr>
      </w:pPr>
      <w:r>
        <w:rPr>
          <w:rFonts w:hint="eastAsia"/>
        </w:rPr>
        <w:t>港口再生水管道取水接口和取水龙头处应设置“再生水不得饮用”的耐久标识。再生水管道用水点处应根据再生水利用具体用途设置相应的再生水警示和提示标识。</w:t>
      </w:r>
    </w:p>
    <w:p>
      <w:pPr>
        <w:pStyle w:val="163"/>
        <w:rPr>
          <w:rFonts w:hint="eastAsia"/>
        </w:rPr>
      </w:pPr>
      <w:r>
        <w:rPr>
          <w:rFonts w:hint="eastAsia"/>
        </w:rPr>
        <w:t>港口再生水输配管网中所有组件和附属设施的显著位置应设置“再生水”耐久标识，再生水管道明装时应采用识别色，并设置“再生水管道”耐久标识，埋地再生水管道应在管道上方设置耐久标志带。</w:t>
      </w:r>
    </w:p>
    <w:p>
      <w:pPr>
        <w:pStyle w:val="163"/>
        <w:rPr>
          <w:rFonts w:hint="eastAsia"/>
        </w:rPr>
      </w:pPr>
      <w:r>
        <w:rPr>
          <w:rFonts w:hint="eastAsia"/>
        </w:rPr>
        <w:t>港口再生水管道的阀门设置应方便事故检修隔断及放空排水的需要。</w:t>
      </w:r>
    </w:p>
    <w:p>
      <w:pPr>
        <w:pStyle w:val="163"/>
        <w:rPr>
          <w:rFonts w:hint="eastAsia"/>
        </w:rPr>
      </w:pPr>
      <w:r>
        <w:rPr>
          <w:rFonts w:hint="eastAsia"/>
        </w:rPr>
        <w:t>港口再生水管道低洼处及阀门间管段低处宜设置泄水阀，防止再生水长期滞留于管网中出现水质恶化。</w:t>
      </w:r>
    </w:p>
    <w:p>
      <w:pPr>
        <w:pStyle w:val="105"/>
        <w:spacing w:before="312" w:after="312"/>
        <w:rPr>
          <w:rFonts w:hint="eastAsia"/>
        </w:rPr>
      </w:pPr>
      <w:bookmarkStart w:id="55" w:name="_Toc187500600"/>
      <w:r>
        <w:rPr>
          <w:rFonts w:hint="eastAsia"/>
        </w:rPr>
        <w:t>监测与分析、管理与评价</w:t>
      </w:r>
      <w:bookmarkEnd w:id="55"/>
    </w:p>
    <w:p>
      <w:pPr>
        <w:pStyle w:val="106"/>
        <w:spacing w:before="156" w:after="156"/>
        <w:rPr>
          <w:rFonts w:hint="eastAsia"/>
        </w:rPr>
      </w:pPr>
      <w:bookmarkStart w:id="56" w:name="_Toc187500601"/>
      <w:r>
        <w:rPr>
          <w:rFonts w:hint="eastAsia"/>
        </w:rPr>
        <w:t>监测与分析</w:t>
      </w:r>
      <w:bookmarkEnd w:id="56"/>
    </w:p>
    <w:p>
      <w:pPr>
        <w:pStyle w:val="166"/>
        <w:rPr>
          <w:rFonts w:hint="eastAsia"/>
        </w:rPr>
      </w:pPr>
      <w:r>
        <w:rPr>
          <w:rFonts w:hint="eastAsia"/>
        </w:rPr>
        <w:t>再生水处理站对主要污染控制指标应具备现场检测条件。</w:t>
      </w:r>
    </w:p>
    <w:p>
      <w:pPr>
        <w:pStyle w:val="166"/>
        <w:rPr>
          <w:rFonts w:hint="eastAsia"/>
        </w:rPr>
      </w:pPr>
      <w:r>
        <w:rPr>
          <w:rFonts w:hint="eastAsia"/>
        </w:rPr>
        <w:t>对于采用加氯消毒的设备，应设置漏氯监测报警和安全处置系统。</w:t>
      </w:r>
    </w:p>
    <w:p>
      <w:pPr>
        <w:pStyle w:val="166"/>
        <w:rPr>
          <w:rFonts w:hint="eastAsia"/>
        </w:rPr>
      </w:pPr>
      <w:r>
        <w:rPr>
          <w:rFonts w:hint="eastAsia"/>
        </w:rPr>
        <w:t>再生水处理站宜根据工艺要求设置在线检测和控制仪表，符合下列规定：</w:t>
      </w:r>
    </w:p>
    <w:p>
      <w:pPr>
        <w:pStyle w:val="133"/>
        <w:rPr>
          <w:rFonts w:hint="eastAsia"/>
        </w:rPr>
      </w:pPr>
      <w:r>
        <w:rPr>
          <w:rFonts w:hint="eastAsia"/>
        </w:rPr>
        <w:t>总进水口和总出水口宜根据水质特征设置相应的水质、水量在线分析仪表；</w:t>
      </w:r>
    </w:p>
    <w:p>
      <w:pPr>
        <w:pStyle w:val="133"/>
        <w:rPr>
          <w:rFonts w:hint="eastAsia"/>
        </w:rPr>
      </w:pPr>
      <w:r>
        <w:rPr>
          <w:rFonts w:hint="eastAsia"/>
        </w:rPr>
        <w:t>煤污水和矿石污水再生水处理站出水宜设置pH和悬浮物在线监测仪表；</w:t>
      </w:r>
    </w:p>
    <w:p>
      <w:pPr>
        <w:pStyle w:val="133"/>
        <w:rPr>
          <w:rFonts w:hint="eastAsia"/>
        </w:rPr>
      </w:pPr>
      <w:r>
        <w:rPr>
          <w:rFonts w:hint="eastAsia"/>
        </w:rPr>
        <w:t>污水提升泵宜采取自动开停方式运行；</w:t>
      </w:r>
    </w:p>
    <w:p>
      <w:pPr>
        <w:pStyle w:val="133"/>
        <w:rPr>
          <w:rFonts w:hint="eastAsia"/>
        </w:rPr>
      </w:pPr>
      <w:r>
        <w:rPr>
          <w:rFonts w:hint="eastAsia"/>
        </w:rPr>
        <w:t>在线监测设备应定期开展实际水样比对试验。</w:t>
      </w:r>
    </w:p>
    <w:p>
      <w:pPr>
        <w:pStyle w:val="166"/>
        <w:rPr>
          <w:rFonts w:hint="eastAsia"/>
        </w:rPr>
      </w:pPr>
      <w:r>
        <w:rPr>
          <w:rFonts w:hint="eastAsia"/>
        </w:rPr>
        <w:t>再生水使用后，排入城镇下水道的港口，其出水监测项目、监测方法、监测频率和排放限值应符合GB/T 31962 的要求。</w:t>
      </w:r>
    </w:p>
    <w:p>
      <w:pPr>
        <w:pStyle w:val="166"/>
      </w:pPr>
      <w:r>
        <w:rPr>
          <w:rFonts w:hint="eastAsia"/>
        </w:rPr>
        <w:t>再生水基本控制项目的分析方法与采样检测频率应符合排污许可证、环境影响评价文件及其审批意见的要求。如未明确采样频次的，宜按照表2执行。</w:t>
      </w:r>
    </w:p>
    <w:p>
      <w:pPr>
        <w:pStyle w:val="113"/>
        <w:spacing w:before="156" w:after="156"/>
      </w:pPr>
      <w:r>
        <w:rPr>
          <w:rFonts w:hint="eastAsia"/>
        </w:rPr>
        <w:t>基本控制项目分析方法与监测频次</w:t>
      </w:r>
    </w:p>
    <w:tbl>
      <w:tblPr>
        <w:tblStyle w:val="28"/>
        <w:tblW w:w="4919" w:type="pct"/>
        <w:tblInd w:w="71"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819"/>
        <w:gridCol w:w="1110"/>
        <w:gridCol w:w="5070"/>
        <w:gridCol w:w="222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exact"/>
        </w:trPr>
        <w:tc>
          <w:tcPr>
            <w:tcW w:w="444" w:type="pct"/>
            <w:tcBorders>
              <w:top w:val="single" w:color="auto" w:sz="8" w:space="0"/>
              <w:bottom w:val="single" w:color="auto" w:sz="8" w:space="0"/>
            </w:tcBorders>
            <w:shd w:val="clear" w:color="auto" w:fill="auto"/>
            <w:vAlign w:val="center"/>
          </w:tcPr>
          <w:p>
            <w:pPr>
              <w:spacing w:line="240" w:lineRule="auto"/>
              <w:ind w:right="-23"/>
              <w:jc w:val="center"/>
              <w:rPr>
                <w:rFonts w:hint="eastAsia" w:ascii="黑体" w:hAnsi="黑体" w:eastAsia="黑体" w:cs="黑体"/>
                <w:color w:val="000000"/>
                <w:sz w:val="18"/>
                <w:szCs w:val="20"/>
              </w:rPr>
            </w:pPr>
            <w:r>
              <w:rPr>
                <w:rFonts w:hint="eastAsia" w:ascii="黑体" w:hAnsi="黑体" w:eastAsia="黑体" w:cs="黑体"/>
                <w:color w:val="000000"/>
                <w:sz w:val="18"/>
                <w:szCs w:val="20"/>
              </w:rPr>
              <w:t>序号</w:t>
            </w:r>
          </w:p>
        </w:tc>
        <w:tc>
          <w:tcPr>
            <w:tcW w:w="602" w:type="pct"/>
            <w:tcBorders>
              <w:top w:val="single" w:color="auto" w:sz="8" w:space="0"/>
              <w:bottom w:val="single" w:color="auto" w:sz="8" w:space="0"/>
            </w:tcBorders>
            <w:shd w:val="clear" w:color="auto" w:fill="auto"/>
            <w:vAlign w:val="center"/>
          </w:tcPr>
          <w:p>
            <w:pPr>
              <w:spacing w:line="240" w:lineRule="auto"/>
              <w:ind w:right="-23"/>
              <w:jc w:val="center"/>
              <w:rPr>
                <w:rFonts w:hint="eastAsia" w:ascii="黑体" w:hAnsi="黑体" w:eastAsia="黑体" w:cs="黑体"/>
                <w:color w:val="000000"/>
                <w:sz w:val="18"/>
                <w:szCs w:val="20"/>
              </w:rPr>
            </w:pPr>
            <w:r>
              <w:rPr>
                <w:rFonts w:hint="eastAsia" w:ascii="黑体" w:hAnsi="黑体" w:eastAsia="黑体" w:cs="黑体"/>
                <w:color w:val="000000"/>
                <w:sz w:val="18"/>
                <w:szCs w:val="20"/>
              </w:rPr>
              <w:t>监测项目</w:t>
            </w:r>
          </w:p>
        </w:tc>
        <w:tc>
          <w:tcPr>
            <w:tcW w:w="2749" w:type="pct"/>
            <w:tcBorders>
              <w:top w:val="single" w:color="auto" w:sz="8" w:space="0"/>
              <w:bottom w:val="single" w:color="auto" w:sz="8" w:space="0"/>
            </w:tcBorders>
            <w:shd w:val="clear" w:color="auto" w:fill="auto"/>
            <w:vAlign w:val="center"/>
          </w:tcPr>
          <w:p>
            <w:pPr>
              <w:spacing w:line="240" w:lineRule="auto"/>
              <w:ind w:right="-23"/>
              <w:jc w:val="center"/>
              <w:rPr>
                <w:rFonts w:hint="eastAsia" w:ascii="黑体" w:hAnsi="黑体" w:eastAsia="黑体" w:cs="黑体"/>
                <w:color w:val="000000"/>
                <w:sz w:val="18"/>
                <w:szCs w:val="20"/>
              </w:rPr>
            </w:pPr>
            <w:r>
              <w:rPr>
                <w:rFonts w:hint="eastAsia" w:ascii="黑体" w:hAnsi="黑体" w:eastAsia="黑体" w:cs="黑体"/>
                <w:color w:val="000000"/>
                <w:sz w:val="18"/>
                <w:szCs w:val="20"/>
              </w:rPr>
              <w:t>测定方法</w:t>
            </w:r>
          </w:p>
        </w:tc>
        <w:tc>
          <w:tcPr>
            <w:tcW w:w="1205" w:type="pct"/>
            <w:tcBorders>
              <w:top w:val="single" w:color="auto" w:sz="8" w:space="0"/>
              <w:bottom w:val="single" w:color="auto" w:sz="8" w:space="0"/>
            </w:tcBorders>
            <w:shd w:val="clear" w:color="auto" w:fill="auto"/>
            <w:vAlign w:val="center"/>
          </w:tcPr>
          <w:p>
            <w:pPr>
              <w:spacing w:line="240" w:lineRule="auto"/>
              <w:ind w:right="-23"/>
              <w:jc w:val="center"/>
              <w:rPr>
                <w:rFonts w:hint="eastAsia" w:ascii="黑体" w:hAnsi="黑体" w:eastAsia="黑体" w:cs="黑体"/>
                <w:color w:val="000000"/>
                <w:sz w:val="18"/>
                <w:szCs w:val="20"/>
              </w:rPr>
            </w:pPr>
            <w:r>
              <w:rPr>
                <w:rFonts w:hint="eastAsia" w:ascii="黑体" w:hAnsi="黑体" w:eastAsia="黑体" w:cs="黑体"/>
                <w:color w:val="000000"/>
                <w:sz w:val="18"/>
                <w:szCs w:val="20"/>
              </w:rPr>
              <w:t>采样检测频率，不低于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2" w:hRule="exact"/>
        </w:trPr>
        <w:tc>
          <w:tcPr>
            <w:tcW w:w="444" w:type="pct"/>
            <w:tcBorders>
              <w:top w:val="single" w:color="auto" w:sz="8" w:space="0"/>
            </w:tcBorders>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1</w:t>
            </w:r>
          </w:p>
        </w:tc>
        <w:tc>
          <w:tcPr>
            <w:tcW w:w="602" w:type="pct"/>
            <w:tcBorders>
              <w:top w:val="single" w:color="auto" w:sz="8" w:space="0"/>
            </w:tcBorders>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COD</w:t>
            </w:r>
          </w:p>
        </w:tc>
        <w:tc>
          <w:tcPr>
            <w:tcW w:w="2749" w:type="pct"/>
            <w:tcBorders>
              <w:top w:val="single" w:color="auto" w:sz="8" w:space="0"/>
            </w:tcBorders>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水质 化学需氧量的测定 重铬酸盐法 GB/T 11914</w:t>
            </w:r>
          </w:p>
        </w:tc>
        <w:tc>
          <w:tcPr>
            <w:tcW w:w="1205" w:type="pct"/>
            <w:tcBorders>
              <w:top w:val="single" w:color="auto" w:sz="8" w:space="0"/>
            </w:tcBorders>
            <w:shd w:val="clear" w:color="auto" w:fill="auto"/>
            <w:vAlign w:val="center"/>
          </w:tcPr>
          <w:p>
            <w:pPr>
              <w:spacing w:line="240" w:lineRule="auto"/>
              <w:ind w:right="-23"/>
              <w:jc w:val="center"/>
              <w:rPr>
                <w:rFonts w:hint="eastAsia"/>
                <w:sz w:val="18"/>
                <w:szCs w:val="20"/>
              </w:rPr>
            </w:pPr>
            <w:r>
              <w:rPr>
                <w:rFonts w:hint="eastAsia"/>
                <w:sz w:val="18"/>
                <w:szCs w:val="20"/>
              </w:rPr>
              <w:t>每月一次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9" w:hRule="exact"/>
        </w:trPr>
        <w:tc>
          <w:tcPr>
            <w:tcW w:w="444"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2</w:t>
            </w:r>
          </w:p>
        </w:tc>
        <w:tc>
          <w:tcPr>
            <w:tcW w:w="602"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pH值</w:t>
            </w:r>
          </w:p>
        </w:tc>
        <w:tc>
          <w:tcPr>
            <w:tcW w:w="2749"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水质 pH值的测定 玻璃电极法 GB/T 6920</w:t>
            </w:r>
          </w:p>
        </w:tc>
        <w:tc>
          <w:tcPr>
            <w:tcW w:w="1205" w:type="pct"/>
            <w:shd w:val="clear" w:color="auto" w:fill="auto"/>
            <w:vAlign w:val="center"/>
          </w:tcPr>
          <w:p>
            <w:pPr>
              <w:spacing w:line="240" w:lineRule="auto"/>
              <w:ind w:right="-23"/>
              <w:jc w:val="center"/>
              <w:rPr>
                <w:rFonts w:hint="eastAsia"/>
                <w:sz w:val="18"/>
                <w:szCs w:val="20"/>
              </w:rPr>
            </w:pPr>
            <w:r>
              <w:rPr>
                <w:rFonts w:hint="eastAsia"/>
                <w:sz w:val="18"/>
                <w:szCs w:val="20"/>
              </w:rPr>
              <w:t>每月一次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exact"/>
        </w:trPr>
        <w:tc>
          <w:tcPr>
            <w:tcW w:w="444"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3</w:t>
            </w:r>
          </w:p>
        </w:tc>
        <w:tc>
          <w:tcPr>
            <w:tcW w:w="602"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浊度</w:t>
            </w:r>
          </w:p>
        </w:tc>
        <w:tc>
          <w:tcPr>
            <w:tcW w:w="2749"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水质 浊度的测定 比浊法 GB/T 13200</w:t>
            </w:r>
          </w:p>
        </w:tc>
        <w:tc>
          <w:tcPr>
            <w:tcW w:w="1205" w:type="pct"/>
            <w:shd w:val="clear" w:color="auto" w:fill="auto"/>
            <w:vAlign w:val="center"/>
          </w:tcPr>
          <w:p>
            <w:pPr>
              <w:spacing w:line="240" w:lineRule="auto"/>
              <w:ind w:right="-23"/>
              <w:jc w:val="center"/>
              <w:rPr>
                <w:rFonts w:hint="eastAsia"/>
                <w:sz w:val="18"/>
                <w:szCs w:val="20"/>
              </w:rPr>
            </w:pPr>
            <w:r>
              <w:rPr>
                <w:rFonts w:hint="eastAsia"/>
                <w:sz w:val="18"/>
                <w:szCs w:val="20"/>
              </w:rPr>
              <w:t>每月一次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exact"/>
        </w:trPr>
        <w:tc>
          <w:tcPr>
            <w:tcW w:w="444"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4</w:t>
            </w:r>
          </w:p>
        </w:tc>
        <w:tc>
          <w:tcPr>
            <w:tcW w:w="602"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氨氮</w:t>
            </w:r>
          </w:p>
        </w:tc>
        <w:tc>
          <w:tcPr>
            <w:tcW w:w="2749"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水质 氨氮的测定 纳氏试剂分光光度法 HJ 535</w:t>
            </w:r>
          </w:p>
        </w:tc>
        <w:tc>
          <w:tcPr>
            <w:tcW w:w="1205" w:type="pct"/>
            <w:shd w:val="clear" w:color="auto" w:fill="auto"/>
            <w:vAlign w:val="center"/>
          </w:tcPr>
          <w:p>
            <w:pPr>
              <w:spacing w:line="240" w:lineRule="auto"/>
              <w:ind w:right="-23"/>
              <w:jc w:val="center"/>
              <w:rPr>
                <w:rFonts w:hint="eastAsia"/>
                <w:sz w:val="18"/>
                <w:szCs w:val="20"/>
              </w:rPr>
            </w:pPr>
            <w:r>
              <w:rPr>
                <w:rFonts w:hint="eastAsia"/>
                <w:sz w:val="18"/>
                <w:szCs w:val="20"/>
              </w:rPr>
              <w:t>每月一次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7" w:hRule="exact"/>
        </w:trPr>
        <w:tc>
          <w:tcPr>
            <w:tcW w:w="444"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5</w:t>
            </w:r>
          </w:p>
        </w:tc>
        <w:tc>
          <w:tcPr>
            <w:tcW w:w="602"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总氮</w:t>
            </w:r>
          </w:p>
        </w:tc>
        <w:tc>
          <w:tcPr>
            <w:tcW w:w="2749"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 xml:space="preserve">水质 总氮的测定 碱性过硫酸钾消解紫外分光光度法 </w:t>
            </w:r>
          </w:p>
          <w:p>
            <w:pPr>
              <w:spacing w:line="240" w:lineRule="auto"/>
              <w:ind w:right="-23"/>
              <w:jc w:val="center"/>
              <w:rPr>
                <w:rFonts w:hint="eastAsia"/>
                <w:color w:val="000000"/>
                <w:sz w:val="18"/>
                <w:szCs w:val="20"/>
              </w:rPr>
            </w:pPr>
            <w:r>
              <w:rPr>
                <w:rFonts w:hint="eastAsia"/>
                <w:color w:val="000000"/>
                <w:sz w:val="18"/>
                <w:szCs w:val="20"/>
              </w:rPr>
              <w:t>GB/T 11894</w:t>
            </w:r>
          </w:p>
        </w:tc>
        <w:tc>
          <w:tcPr>
            <w:tcW w:w="1205" w:type="pct"/>
            <w:shd w:val="clear" w:color="auto" w:fill="auto"/>
            <w:vAlign w:val="center"/>
          </w:tcPr>
          <w:p>
            <w:pPr>
              <w:spacing w:line="240" w:lineRule="auto"/>
              <w:ind w:right="-23"/>
              <w:jc w:val="center"/>
              <w:rPr>
                <w:rFonts w:hint="eastAsia"/>
                <w:sz w:val="18"/>
                <w:szCs w:val="20"/>
              </w:rPr>
            </w:pPr>
            <w:r>
              <w:rPr>
                <w:rFonts w:hint="eastAsia"/>
                <w:sz w:val="18"/>
                <w:szCs w:val="20"/>
              </w:rPr>
              <w:t>每月一次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exact"/>
        </w:trPr>
        <w:tc>
          <w:tcPr>
            <w:tcW w:w="444"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6</w:t>
            </w:r>
          </w:p>
        </w:tc>
        <w:tc>
          <w:tcPr>
            <w:tcW w:w="602"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总磷</w:t>
            </w:r>
          </w:p>
        </w:tc>
        <w:tc>
          <w:tcPr>
            <w:tcW w:w="2749"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水质 总磷的测定 钼酸铵分光光度法 GB/T 11893</w:t>
            </w:r>
          </w:p>
        </w:tc>
        <w:tc>
          <w:tcPr>
            <w:tcW w:w="1205" w:type="pct"/>
            <w:shd w:val="clear" w:color="auto" w:fill="auto"/>
            <w:vAlign w:val="center"/>
          </w:tcPr>
          <w:p>
            <w:pPr>
              <w:spacing w:line="240" w:lineRule="auto"/>
              <w:ind w:right="-23"/>
              <w:jc w:val="center"/>
              <w:rPr>
                <w:rFonts w:hint="eastAsia"/>
                <w:sz w:val="18"/>
                <w:szCs w:val="20"/>
              </w:rPr>
            </w:pPr>
            <w:r>
              <w:rPr>
                <w:rFonts w:hint="eastAsia"/>
                <w:sz w:val="18"/>
                <w:szCs w:val="20"/>
              </w:rPr>
              <w:t>每月一次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6" w:hRule="exact"/>
        </w:trPr>
        <w:tc>
          <w:tcPr>
            <w:tcW w:w="444"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7</w:t>
            </w:r>
          </w:p>
        </w:tc>
        <w:tc>
          <w:tcPr>
            <w:tcW w:w="602" w:type="pct"/>
            <w:shd w:val="clear" w:color="auto" w:fill="auto"/>
            <w:vAlign w:val="center"/>
          </w:tcPr>
          <w:p>
            <w:pPr>
              <w:spacing w:line="240" w:lineRule="auto"/>
              <w:ind w:right="-23"/>
              <w:jc w:val="center"/>
              <w:rPr>
                <w:rFonts w:hint="eastAsia"/>
                <w:color w:val="000000"/>
                <w:sz w:val="18"/>
                <w:szCs w:val="20"/>
              </w:rPr>
            </w:pPr>
            <w:r>
              <w:rPr>
                <w:rFonts w:hint="eastAsia"/>
                <w:color w:val="000000"/>
                <w:sz w:val="18"/>
                <w:szCs w:val="20"/>
              </w:rPr>
              <w:t>石油类</w:t>
            </w:r>
          </w:p>
        </w:tc>
        <w:tc>
          <w:tcPr>
            <w:tcW w:w="2749" w:type="pct"/>
            <w:shd w:val="clear" w:color="auto" w:fill="auto"/>
            <w:vAlign w:val="center"/>
          </w:tcPr>
          <w:p>
            <w:pPr>
              <w:spacing w:line="240" w:lineRule="auto"/>
              <w:ind w:right="-23"/>
              <w:jc w:val="center"/>
              <w:rPr>
                <w:rFonts w:hint="eastAsia"/>
                <w:color w:val="000000"/>
                <w:sz w:val="18"/>
                <w:szCs w:val="20"/>
              </w:rPr>
            </w:pPr>
            <w:bookmarkStart w:id="57" w:name="OLE_LINK60"/>
            <w:r>
              <w:rPr>
                <w:rFonts w:hint="eastAsia"/>
                <w:color w:val="000000"/>
                <w:sz w:val="18"/>
                <w:szCs w:val="20"/>
              </w:rPr>
              <w:t>水质 石油类和动物油类的测定 红外分光光度法</w:t>
            </w:r>
            <w:bookmarkEnd w:id="57"/>
            <w:r>
              <w:rPr>
                <w:rFonts w:hint="eastAsia"/>
                <w:color w:val="000000"/>
                <w:sz w:val="18"/>
                <w:szCs w:val="20"/>
              </w:rPr>
              <w:t xml:space="preserve"> HJ 637 </w:t>
            </w:r>
          </w:p>
        </w:tc>
        <w:tc>
          <w:tcPr>
            <w:tcW w:w="1205" w:type="pct"/>
            <w:shd w:val="clear" w:color="auto" w:fill="auto"/>
            <w:vAlign w:val="center"/>
          </w:tcPr>
          <w:p>
            <w:pPr>
              <w:spacing w:line="240" w:lineRule="auto"/>
              <w:ind w:right="-23"/>
              <w:jc w:val="center"/>
              <w:rPr>
                <w:rFonts w:hint="eastAsia"/>
                <w:sz w:val="18"/>
                <w:szCs w:val="20"/>
              </w:rPr>
            </w:pPr>
            <w:r>
              <w:rPr>
                <w:rFonts w:hint="eastAsia"/>
                <w:sz w:val="18"/>
                <w:szCs w:val="20"/>
              </w:rPr>
              <w:t>每月一次</w:t>
            </w:r>
          </w:p>
        </w:tc>
      </w:tr>
    </w:tbl>
    <w:p>
      <w:pPr>
        <w:pStyle w:val="106"/>
        <w:spacing w:before="156" w:after="156"/>
        <w:rPr>
          <w:rFonts w:hint="eastAsia"/>
        </w:rPr>
      </w:pPr>
      <w:bookmarkStart w:id="58" w:name="_Toc187500602"/>
      <w:r>
        <w:rPr>
          <w:rFonts w:hint="eastAsia"/>
        </w:rPr>
        <w:t>管理</w:t>
      </w:r>
      <w:bookmarkEnd w:id="58"/>
    </w:p>
    <w:p>
      <w:pPr>
        <w:pStyle w:val="66"/>
        <w:spacing w:before="156" w:after="156"/>
        <w:rPr>
          <w:rFonts w:hint="eastAsia"/>
        </w:rPr>
      </w:pPr>
      <w:r>
        <w:rPr>
          <w:rFonts w:hint="eastAsia"/>
        </w:rPr>
        <w:t>运行管理</w:t>
      </w:r>
    </w:p>
    <w:p>
      <w:pPr>
        <w:pStyle w:val="165"/>
        <w:rPr>
          <w:rFonts w:hint="eastAsia"/>
        </w:rPr>
      </w:pPr>
      <w:r>
        <w:rPr>
          <w:rFonts w:hint="eastAsia"/>
        </w:rPr>
        <w:t>再生水处理站建成时，应经专业技术人员调试，设施运行正常稳定后方可投入正式运行，有条件的港口可委托有相应资质的单位进行管理与维护。</w:t>
      </w:r>
    </w:p>
    <w:p>
      <w:pPr>
        <w:pStyle w:val="165"/>
        <w:rPr>
          <w:rFonts w:hint="eastAsia"/>
        </w:rPr>
      </w:pPr>
      <w:r>
        <w:rPr>
          <w:rFonts w:hint="eastAsia"/>
        </w:rPr>
        <w:t>再生水处理站调试期内产生的不达标出水，宜回流至处理站进水端。</w:t>
      </w:r>
    </w:p>
    <w:p>
      <w:pPr>
        <w:pStyle w:val="165"/>
        <w:rPr>
          <w:rFonts w:hint="eastAsia"/>
        </w:rPr>
      </w:pPr>
      <w:r>
        <w:rPr>
          <w:rFonts w:hint="eastAsia"/>
        </w:rPr>
        <w:t>再生水处理站运行管理应配备专业人员和设备，各岗位运行操作和维护人员应熟悉本系统处理工艺技术指标和设施、设备的运行要求，应经培训后持证上岗，并应定期考核。</w:t>
      </w:r>
    </w:p>
    <w:p>
      <w:pPr>
        <w:pStyle w:val="165"/>
        <w:rPr>
          <w:rFonts w:hint="eastAsia"/>
        </w:rPr>
      </w:pPr>
      <w:r>
        <w:rPr>
          <w:rFonts w:hint="eastAsia"/>
        </w:rPr>
        <w:t>再生水处理站应制定运行管理制度、岗位操作规程、设施、设备维护保养手册及事故应急预案，并定期修订。</w:t>
      </w:r>
    </w:p>
    <w:p>
      <w:pPr>
        <w:pStyle w:val="165"/>
        <w:rPr>
          <w:rFonts w:hint="eastAsia"/>
        </w:rPr>
      </w:pPr>
      <w:r>
        <w:rPr>
          <w:rFonts w:hint="eastAsia"/>
        </w:rPr>
        <w:t>再生水处理站运行前应制定设备台账、运行记录、定期巡视、交接班、安全检查等管理制度，以及各岗位的工艺系统图、操作和维护规程等技术文件。</w:t>
      </w:r>
    </w:p>
    <w:p>
      <w:pPr>
        <w:pStyle w:val="165"/>
        <w:rPr>
          <w:rFonts w:hint="eastAsia"/>
        </w:rPr>
      </w:pPr>
      <w:r>
        <w:rPr>
          <w:rFonts w:hint="eastAsia"/>
        </w:rPr>
        <w:t>再生水处理站各岗位的工艺系统图、操作和维护规程等应示于明显部位，运行人员应按规程进行系统操作。</w:t>
      </w:r>
    </w:p>
    <w:p>
      <w:pPr>
        <w:pStyle w:val="165"/>
        <w:rPr>
          <w:rFonts w:hint="eastAsia"/>
        </w:rPr>
      </w:pPr>
      <w:r>
        <w:rPr>
          <w:rFonts w:hint="eastAsia"/>
        </w:rPr>
        <w:t>再生水处理站的运行控制系统应保证安全可靠、便于运行和改善劳动条件，提高科学管理和智慧化水平。</w:t>
      </w:r>
    </w:p>
    <w:p>
      <w:pPr>
        <w:pStyle w:val="66"/>
        <w:spacing w:before="156" w:after="156"/>
        <w:rPr>
          <w:rFonts w:hint="eastAsia"/>
        </w:rPr>
      </w:pPr>
      <w:r>
        <w:rPr>
          <w:rFonts w:hint="eastAsia"/>
        </w:rPr>
        <w:t>维护保养</w:t>
      </w:r>
    </w:p>
    <w:p>
      <w:pPr>
        <w:pStyle w:val="165"/>
        <w:rPr>
          <w:rFonts w:hint="eastAsia"/>
        </w:rPr>
      </w:pPr>
      <w:r>
        <w:rPr>
          <w:rFonts w:hint="eastAsia"/>
        </w:rPr>
        <w:t>工艺设施和主要设备应编入台账，维护人员定期对各类设备、电气、自控仪表及建（构）筑物进行检修维护，确保设施稳定可靠运行。</w:t>
      </w:r>
    </w:p>
    <w:p>
      <w:pPr>
        <w:pStyle w:val="165"/>
        <w:rPr>
          <w:rFonts w:hint="eastAsia"/>
        </w:rPr>
      </w:pPr>
      <w:r>
        <w:rPr>
          <w:rFonts w:hint="eastAsia"/>
        </w:rPr>
        <w:t>设施、设备的使用与维护保养应按照设施、设备的操作规程和维修保养规定执行。</w:t>
      </w:r>
    </w:p>
    <w:p>
      <w:pPr>
        <w:pStyle w:val="165"/>
        <w:rPr>
          <w:rFonts w:hint="eastAsia"/>
        </w:rPr>
      </w:pPr>
      <w:r>
        <w:rPr>
          <w:rFonts w:hint="eastAsia"/>
        </w:rPr>
        <w:t>设施、设备维修前，应做好必要的检查，并制定维修方案及安全保障措施；设施、设备修复后，应及时组织验收，合格后方可交付使用。</w:t>
      </w:r>
    </w:p>
    <w:p>
      <w:pPr>
        <w:pStyle w:val="165"/>
        <w:rPr>
          <w:rFonts w:hint="eastAsia"/>
        </w:rPr>
      </w:pPr>
      <w:r>
        <w:rPr>
          <w:rFonts w:hint="eastAsia"/>
        </w:rPr>
        <w:t>维护人员应按时做好运行记录，包括污水处理系统处理量、设施和设备运转情况、设备维修情况、交接班情况等，记录应准确无误。</w:t>
      </w:r>
    </w:p>
    <w:p>
      <w:pPr>
        <w:pStyle w:val="165"/>
        <w:rPr>
          <w:rFonts w:hint="eastAsia"/>
        </w:rPr>
      </w:pPr>
      <w:r>
        <w:rPr>
          <w:rFonts w:hint="eastAsia"/>
        </w:rPr>
        <w:t>维护人员发现运行异常时，应做好相应处理并及时上报，同时做好记录。</w:t>
      </w:r>
    </w:p>
    <w:p>
      <w:pPr>
        <w:pStyle w:val="165"/>
        <w:rPr>
          <w:rFonts w:hint="eastAsia"/>
        </w:rPr>
      </w:pPr>
      <w:r>
        <w:rPr>
          <w:rFonts w:hint="eastAsia"/>
        </w:rPr>
        <w:t>应严格执行经常性的和定期的安全检查，及时消除事故隐患，防止事故发生。</w:t>
      </w:r>
    </w:p>
    <w:p>
      <w:pPr>
        <w:pStyle w:val="66"/>
        <w:spacing w:before="156" w:after="156"/>
        <w:rPr>
          <w:rFonts w:hint="eastAsia"/>
        </w:rPr>
      </w:pPr>
      <w:r>
        <w:rPr>
          <w:rFonts w:hint="eastAsia"/>
        </w:rPr>
        <w:t>档案管理</w:t>
      </w:r>
    </w:p>
    <w:p>
      <w:pPr>
        <w:pStyle w:val="165"/>
        <w:rPr>
          <w:rFonts w:hint="eastAsia"/>
        </w:rPr>
      </w:pPr>
      <w:r>
        <w:rPr>
          <w:rFonts w:hint="eastAsia"/>
        </w:rPr>
        <w:t>应建立健全再生水利用档案管理制度，完善各类档案资料的管理，包括项目审批文件、工艺说明书、管网图纸、水质监测记录、水平衡测试报告、设备设施维护运行记录、应急预案等。</w:t>
      </w:r>
    </w:p>
    <w:p>
      <w:pPr>
        <w:pStyle w:val="165"/>
        <w:rPr>
          <w:rFonts w:hint="eastAsia"/>
        </w:rPr>
      </w:pPr>
      <w:r>
        <w:rPr>
          <w:rFonts w:hint="eastAsia"/>
        </w:rPr>
        <w:t>所有程序和过程应进行全面准确的记录、备份和归档。保证档案资料的准确完整、字迹清晰、真实有效。</w:t>
      </w:r>
    </w:p>
    <w:p>
      <w:pPr>
        <w:pStyle w:val="66"/>
        <w:spacing w:before="156" w:after="156"/>
        <w:rPr>
          <w:rFonts w:hint="eastAsia"/>
        </w:rPr>
      </w:pPr>
      <w:r>
        <w:rPr>
          <w:rFonts w:hint="eastAsia"/>
        </w:rPr>
        <w:t>应急管理</w:t>
      </w:r>
    </w:p>
    <w:p>
      <w:pPr>
        <w:pStyle w:val="165"/>
        <w:rPr>
          <w:rFonts w:hint="eastAsia"/>
        </w:rPr>
      </w:pPr>
      <w:r>
        <w:rPr>
          <w:rFonts w:hint="eastAsia"/>
        </w:rPr>
        <w:t>应定期对再生水供水管网进行检查，监测水质、水量及水压的变化，及时发现并处理管网运行的异常情况，预防泄漏或爆管等事故的发生。</w:t>
      </w:r>
    </w:p>
    <w:p>
      <w:pPr>
        <w:pStyle w:val="165"/>
        <w:rPr>
          <w:rFonts w:hint="eastAsia"/>
        </w:rPr>
      </w:pPr>
      <w:r>
        <w:rPr>
          <w:rFonts w:hint="eastAsia"/>
        </w:rPr>
        <w:t>应建立应急管理体系，制定应急预案，并按规定开展培训和演练。</w:t>
      </w:r>
    </w:p>
    <w:p>
      <w:pPr>
        <w:pStyle w:val="165"/>
        <w:rPr>
          <w:rFonts w:hint="eastAsia"/>
        </w:rPr>
      </w:pPr>
      <w:r>
        <w:rPr>
          <w:rFonts w:hint="eastAsia"/>
        </w:rPr>
        <w:t>发生超设计水样极端天气或发生事故时，应启动应急预案。</w:t>
      </w:r>
    </w:p>
    <w:p>
      <w:pPr>
        <w:pStyle w:val="165"/>
        <w:rPr>
          <w:rFonts w:hint="eastAsia"/>
        </w:rPr>
      </w:pPr>
      <w:r>
        <w:rPr>
          <w:rFonts w:hint="eastAsia"/>
        </w:rPr>
        <w:t>应制定详细的检修维修制度，配备专业的技术人员。</w:t>
      </w:r>
    </w:p>
    <w:p>
      <w:pPr>
        <w:pStyle w:val="106"/>
        <w:spacing w:before="156" w:after="156"/>
        <w:rPr>
          <w:rFonts w:hint="eastAsia"/>
        </w:rPr>
      </w:pPr>
      <w:bookmarkStart w:id="59" w:name="_Toc187500603"/>
      <w:r>
        <w:rPr>
          <w:rFonts w:hint="eastAsia"/>
        </w:rPr>
        <w:t>评价</w:t>
      </w:r>
      <w:bookmarkEnd w:id="59"/>
    </w:p>
    <w:p>
      <w:pPr>
        <w:pStyle w:val="166"/>
      </w:pPr>
      <w:r>
        <w:rPr>
          <w:rFonts w:hint="eastAsia"/>
        </w:rPr>
        <w:t>港口再生水利用率计算公式按公式1。</w:t>
      </w:r>
    </w:p>
    <w:p>
      <w:pPr>
        <w:pStyle w:val="114"/>
      </w:pPr>
      <w:r>
        <w:rPr>
          <w:rFonts w:hint="eastAsia"/>
        </w:rPr>
        <w:tab/>
      </w:r>
      <m:oMath>
        <m:r>
          <m:rPr/>
          <w:rPr>
            <w:rFonts w:hint="eastAsia" w:ascii="Cambria Math" w:hAnsi="Cambria Math"/>
          </w:rPr>
          <m:t>港口再生水利用率</m:t>
        </m:r>
        <m:r>
          <m:rPr/>
          <w:rPr>
            <w:rFonts w:ascii="Cambria Math" w:hAnsi="Cambria Math"/>
          </w:rPr>
          <m:t>=</m:t>
        </m:r>
        <m:f>
          <m:fPr>
            <m:ctrlPr>
              <w:rPr>
                <w:rFonts w:ascii="Cambria Math" w:hAnsi="Cambria Math"/>
                <w:i/>
              </w:rPr>
            </m:ctrlPr>
          </m:fPr>
          <m:num>
            <m:r>
              <m:rPr/>
              <w:rPr>
                <w:rFonts w:hint="eastAsia" w:ascii="Cambria Math" w:hAnsi="Cambria Math"/>
              </w:rPr>
              <m:t>港口自用再生水总量</m:t>
            </m:r>
            <m:ctrlPr>
              <w:rPr>
                <w:rFonts w:ascii="Cambria Math" w:hAnsi="Cambria Math"/>
                <w:i/>
              </w:rPr>
            </m:ctrlPr>
          </m:num>
          <m:den>
            <m:r>
              <m:rPr/>
              <w:rPr>
                <w:rFonts w:hint="eastAsia" w:ascii="Cambria Math" w:hAnsi="Cambria Math"/>
              </w:rPr>
              <m:t>港口总用水量</m:t>
            </m:r>
            <m:ctrlPr>
              <w:rPr>
                <w:rFonts w:ascii="Cambria Math" w:hAnsi="Cambria Math"/>
                <w:i/>
              </w:rPr>
            </m:ctrlPr>
          </m:den>
        </m:f>
        <m:r>
          <m:rPr/>
          <w:rPr>
            <w:rFonts w:ascii="Segoe UI Symbol" w:hAnsi="Segoe UI Symbol" w:cs="Segoe UI Symbol"/>
          </w:rPr>
          <m:t>✖</m:t>
        </m:r>
        <m:r>
          <m:rPr/>
          <w:rPr>
            <w:rFonts w:ascii="Cambria Math" w:hAnsi="Segoe UI Symbol" w:cs="Segoe UI Symbol"/>
          </w:rPr>
          <m:t>100%</m:t>
        </m:r>
      </m:oMath>
      <w:r>
        <w:rPr>
          <w:rFonts w:hint="eastAsia" w:ascii="微软雅黑" w:hAnsi="微软雅黑" w:eastAsia="微软雅黑"/>
        </w:rPr>
        <w:tab/>
      </w:r>
      <w:r>
        <w:t>(</w:t>
      </w:r>
      <w:r>
        <w:fldChar w:fldCharType="begin"/>
      </w:r>
      <w:r>
        <w:instrText xml:space="preserve"> AUTONUM </w:instrText>
      </w:r>
      <w:r>
        <w:fldChar w:fldCharType="end"/>
      </w:r>
      <w:r>
        <w:t>)</w:t>
      </w:r>
    </w:p>
    <w:p>
      <w:pPr>
        <w:pStyle w:val="166"/>
        <w:rPr>
          <w:rFonts w:hint="eastAsia"/>
        </w:rPr>
      </w:pPr>
      <w:r>
        <w:rPr>
          <w:rFonts w:hint="eastAsia"/>
        </w:rPr>
        <w:t>港口再生水利用效益评价应综合考虑资源、生态环境、社会、经济等效益。</w:t>
      </w:r>
    </w:p>
    <w:p>
      <w:pPr>
        <w:pStyle w:val="166"/>
      </w:pPr>
      <w:r>
        <w:rPr>
          <w:rFonts w:hint="eastAsia"/>
        </w:rPr>
        <w:t>港口宜开展再生水利用效益评价，并应符合</w:t>
      </w:r>
      <w:r>
        <w:t>GB/T 42247</w:t>
      </w:r>
      <w:r>
        <w:rPr>
          <w:rFonts w:hint="eastAsia"/>
        </w:rPr>
        <w:t>规定。</w:t>
      </w:r>
      <w:r>
        <w:t> </w:t>
      </w:r>
    </w:p>
    <w:p>
      <w:pPr>
        <w:pStyle w:val="57"/>
        <w:ind w:firstLine="420"/>
        <w:rPr>
          <w:rFonts w:hint="eastAsia"/>
        </w:rPr>
      </w:pPr>
    </w:p>
    <w:p>
      <w:pPr>
        <w:pStyle w:val="57"/>
        <w:ind w:firstLine="0" w:firstLineChars="0"/>
        <w:rPr>
          <w:rFonts w:hint="eastAsia"/>
        </w:rPr>
        <w:sectPr>
          <w:pgSz w:w="11906" w:h="16838"/>
          <w:pgMar w:top="1928" w:right="1134" w:bottom="1134" w:left="1134" w:header="1418" w:footer="1134" w:gutter="284"/>
          <w:pgNumType w:start="1"/>
          <w:cols w:space="425" w:num="1"/>
          <w:formProt w:val="0"/>
          <w:docGrid w:type="lines" w:linePitch="312" w:charSpace="0"/>
        </w:sectPr>
      </w:pPr>
    </w:p>
    <w:bookmarkEnd w:id="24"/>
    <w:p>
      <w:pPr>
        <w:pStyle w:val="199"/>
        <w:rPr>
          <w:rFonts w:hint="eastAsia"/>
          <w:vanish w:val="0"/>
        </w:rPr>
      </w:pPr>
      <w:bookmarkStart w:id="60" w:name="BookMark5"/>
    </w:p>
    <w:p>
      <w:pPr>
        <w:pStyle w:val="200"/>
        <w:rPr>
          <w:rFonts w:hint="eastAsia"/>
          <w:vanish w:val="0"/>
        </w:rPr>
      </w:pPr>
    </w:p>
    <w:p>
      <w:pPr>
        <w:pStyle w:val="77"/>
        <w:spacing w:after="156"/>
        <w:rPr>
          <w:rFonts w:hint="eastAsia"/>
        </w:rPr>
      </w:pPr>
      <w:r>
        <w:br w:type="textWrapping"/>
      </w:r>
      <w:bookmarkStart w:id="61" w:name="_Toc187500604"/>
      <w:r>
        <w:rPr>
          <w:rFonts w:hint="eastAsia"/>
        </w:rPr>
        <w:t>（资料性）</w:t>
      </w:r>
      <w:r>
        <w:br w:type="textWrapping"/>
      </w:r>
      <w:r>
        <w:rPr>
          <w:rFonts w:hint="eastAsia"/>
        </w:rPr>
        <w:t>污水处理工艺</w:t>
      </w:r>
      <w:bookmarkEnd w:id="61"/>
    </w:p>
    <w:p>
      <w:pPr>
        <w:pStyle w:val="212"/>
        <w:rPr>
          <w:rFonts w:hint="eastAsia"/>
        </w:rPr>
      </w:pPr>
      <w:bookmarkStart w:id="62" w:name="_Toc25958"/>
      <w:bookmarkStart w:id="63" w:name="_Toc25607_WPSOffice_Level1"/>
      <w:bookmarkStart w:id="64" w:name="_Toc32126_WPSOffice_Level1"/>
      <w:bookmarkStart w:id="65" w:name="_Toc22494_WPSOffice_Level1"/>
      <w:r>
        <w:rPr>
          <w:rFonts w:hint="eastAsia"/>
        </w:rPr>
        <w:t>港口煤污水再生处理宜采用图A.1所示工艺流程。</w:t>
      </w:r>
      <w:bookmarkEnd w:id="62"/>
    </w:p>
    <w:p>
      <w:pPr>
        <w:pStyle w:val="183"/>
        <w:ind w:firstLine="360"/>
        <w:rPr>
          <w:rFonts w:hint="eastAsia" w:hAnsi="黑体" w:cs="黑体"/>
          <w:color w:val="000000"/>
          <w:spacing w:val="1"/>
        </w:rPr>
      </w:pPr>
      <w:bookmarkStart w:id="66" w:name="_Toc187500605"/>
      <w:r>
        <w:drawing>
          <wp:inline distT="0" distB="0" distL="0" distR="0">
            <wp:extent cx="4929505" cy="1837055"/>
            <wp:effectExtent l="0" t="0" r="4445" b="0"/>
            <wp:docPr id="12583045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304596" name="图片 1"/>
                    <pic:cNvPicPr>
                      <a:picLocks noChangeAspect="1"/>
                    </pic:cNvPicPr>
                  </pic:nvPicPr>
                  <pic:blipFill>
                    <a:blip r:embed="rId16"/>
                    <a:stretch>
                      <a:fillRect/>
                    </a:stretch>
                  </pic:blipFill>
                  <pic:spPr>
                    <a:xfrm>
                      <a:off x="0" y="0"/>
                      <a:ext cx="4966168" cy="1850981"/>
                    </a:xfrm>
                    <a:prstGeom prst="rect">
                      <a:avLst/>
                    </a:prstGeom>
                  </pic:spPr>
                </pic:pic>
              </a:graphicData>
            </a:graphic>
          </wp:inline>
        </w:drawing>
      </w:r>
      <w:bookmarkEnd w:id="66"/>
    </w:p>
    <w:p>
      <w:pPr>
        <w:pStyle w:val="84"/>
        <w:spacing w:before="156" w:after="156"/>
        <w:rPr>
          <w:rFonts w:hint="eastAsia"/>
        </w:rPr>
      </w:pPr>
      <w:r>
        <w:rPr>
          <w:rFonts w:hint="eastAsia"/>
        </w:rPr>
        <w:t>煤污水再生处理工艺流程</w:t>
      </w:r>
    </w:p>
    <w:p>
      <w:pPr>
        <w:pStyle w:val="57"/>
        <w:ind w:firstLine="420"/>
        <w:rPr>
          <w:rFonts w:hint="eastAsia" w:hAnsi="黑体" w:cs="黑体"/>
          <w:spacing w:val="1"/>
        </w:rPr>
      </w:pPr>
      <w:r>
        <w:rPr>
          <w:rFonts w:hint="eastAsia"/>
        </w:rPr>
        <w:t>注：港口煤污水经处理后中水氯离子含量高于800mg/L时，回用于翻车机干雾、堆取料机等重要机械喷淋用水时，可以增加除氯等深度处理工艺。</w:t>
      </w:r>
    </w:p>
    <w:p>
      <w:pPr>
        <w:pStyle w:val="212"/>
        <w:rPr>
          <w:rFonts w:hint="eastAsia"/>
        </w:rPr>
      </w:pPr>
      <w:r>
        <w:rPr>
          <w:rFonts w:hint="eastAsia"/>
        </w:rPr>
        <w:t>港口非金属矿石污水采用化学法除磷工艺时，应符合GB 50335规定。</w:t>
      </w:r>
    </w:p>
    <w:p>
      <w:pPr>
        <w:pStyle w:val="213"/>
        <w:rPr>
          <w:rFonts w:hint="eastAsia"/>
        </w:rPr>
      </w:pPr>
      <w:r>
        <w:rPr>
          <w:rFonts w:hint="eastAsia"/>
        </w:rPr>
        <w:t>港口石灰石/硫磺污水处理宜采用图A.2所示工艺流程。</w:t>
      </w:r>
    </w:p>
    <w:p>
      <w:pPr>
        <w:pStyle w:val="183"/>
        <w:ind w:firstLine="360"/>
        <w:rPr>
          <w:rFonts w:hint="eastAsia"/>
        </w:rPr>
      </w:pPr>
      <w:bookmarkStart w:id="67" w:name="_Toc187500606"/>
      <w:r>
        <w:drawing>
          <wp:inline distT="0" distB="0" distL="0" distR="0">
            <wp:extent cx="5144135" cy="1651635"/>
            <wp:effectExtent l="0" t="0" r="0" b="5715"/>
            <wp:docPr id="12269306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930667" name="图片 1"/>
                    <pic:cNvPicPr>
                      <a:picLocks noChangeAspect="1"/>
                    </pic:cNvPicPr>
                  </pic:nvPicPr>
                  <pic:blipFill>
                    <a:blip r:embed="rId17"/>
                    <a:stretch>
                      <a:fillRect/>
                    </a:stretch>
                  </pic:blipFill>
                  <pic:spPr>
                    <a:xfrm>
                      <a:off x="0" y="0"/>
                      <a:ext cx="5159728" cy="1657117"/>
                    </a:xfrm>
                    <a:prstGeom prst="rect">
                      <a:avLst/>
                    </a:prstGeom>
                  </pic:spPr>
                </pic:pic>
              </a:graphicData>
            </a:graphic>
          </wp:inline>
        </w:drawing>
      </w:r>
      <w:bookmarkEnd w:id="67"/>
    </w:p>
    <w:p>
      <w:pPr>
        <w:pStyle w:val="84"/>
        <w:spacing w:before="156" w:after="156"/>
        <w:rPr>
          <w:rFonts w:hint="eastAsia"/>
        </w:rPr>
      </w:pPr>
      <w:r>
        <w:rPr>
          <w:rFonts w:hint="eastAsia"/>
        </w:rPr>
        <w:t>石灰石/硫磺污水再生处理工艺流程</w:t>
      </w:r>
    </w:p>
    <w:p>
      <w:pPr>
        <w:pStyle w:val="213"/>
        <w:rPr>
          <w:rFonts w:hint="eastAsia"/>
        </w:rPr>
      </w:pPr>
      <w:r>
        <w:rPr>
          <w:rFonts w:hint="eastAsia"/>
        </w:rPr>
        <w:t>港口磷矿污水再生水处理宜采用图A.3所示工艺流程。</w:t>
      </w:r>
    </w:p>
    <w:p>
      <w:pPr>
        <w:pStyle w:val="183"/>
        <w:ind w:firstLine="360"/>
        <w:rPr>
          <w:rFonts w:hint="eastAsia"/>
        </w:rPr>
      </w:pPr>
      <w:bookmarkStart w:id="68" w:name="_Toc187500607"/>
      <w:r>
        <w:drawing>
          <wp:inline distT="0" distB="0" distL="0" distR="0">
            <wp:extent cx="5191760" cy="1849120"/>
            <wp:effectExtent l="0" t="0" r="8890" b="0"/>
            <wp:docPr id="11696741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674143" name="图片 1"/>
                    <pic:cNvPicPr>
                      <a:picLocks noChangeAspect="1"/>
                    </pic:cNvPicPr>
                  </pic:nvPicPr>
                  <pic:blipFill>
                    <a:blip r:embed="rId18"/>
                    <a:stretch>
                      <a:fillRect/>
                    </a:stretch>
                  </pic:blipFill>
                  <pic:spPr>
                    <a:xfrm>
                      <a:off x="0" y="0"/>
                      <a:ext cx="5209794" cy="1855565"/>
                    </a:xfrm>
                    <a:prstGeom prst="rect">
                      <a:avLst/>
                    </a:prstGeom>
                  </pic:spPr>
                </pic:pic>
              </a:graphicData>
            </a:graphic>
          </wp:inline>
        </w:drawing>
      </w:r>
      <w:bookmarkEnd w:id="68"/>
    </w:p>
    <w:p>
      <w:pPr>
        <w:pStyle w:val="84"/>
        <w:spacing w:before="156" w:after="156"/>
        <w:rPr>
          <w:rFonts w:hint="eastAsia"/>
        </w:rPr>
      </w:pPr>
      <w:r>
        <w:rPr>
          <w:rFonts w:hint="eastAsia"/>
        </w:rPr>
        <w:t>磷矿污水再生处理工艺流程</w:t>
      </w:r>
    </w:p>
    <w:p>
      <w:pPr>
        <w:pStyle w:val="212"/>
        <w:rPr>
          <w:rFonts w:hint="eastAsia"/>
        </w:rPr>
      </w:pPr>
      <w:r>
        <w:rPr>
          <w:rFonts w:hint="eastAsia"/>
        </w:rPr>
        <w:t>港口含油污水再生处理宜采用图A.4所示工艺流程。</w:t>
      </w:r>
    </w:p>
    <w:p>
      <w:pPr>
        <w:pStyle w:val="183"/>
        <w:ind w:firstLine="360"/>
        <w:rPr>
          <w:rFonts w:hint="eastAsia"/>
        </w:rPr>
      </w:pPr>
      <w:bookmarkStart w:id="69" w:name="_Toc187500608"/>
      <w:r>
        <w:drawing>
          <wp:inline distT="0" distB="0" distL="0" distR="0">
            <wp:extent cx="4953635" cy="2143760"/>
            <wp:effectExtent l="0" t="0" r="0" b="8890"/>
            <wp:docPr id="5840418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041841" name="图片 1"/>
                    <pic:cNvPicPr>
                      <a:picLocks noChangeAspect="1"/>
                    </pic:cNvPicPr>
                  </pic:nvPicPr>
                  <pic:blipFill>
                    <a:blip r:embed="rId19"/>
                    <a:stretch>
                      <a:fillRect/>
                    </a:stretch>
                  </pic:blipFill>
                  <pic:spPr>
                    <a:xfrm>
                      <a:off x="0" y="0"/>
                      <a:ext cx="4970444" cy="2151200"/>
                    </a:xfrm>
                    <a:prstGeom prst="rect">
                      <a:avLst/>
                    </a:prstGeom>
                  </pic:spPr>
                </pic:pic>
              </a:graphicData>
            </a:graphic>
          </wp:inline>
        </w:drawing>
      </w:r>
      <w:bookmarkEnd w:id="69"/>
    </w:p>
    <w:p>
      <w:pPr>
        <w:pStyle w:val="84"/>
        <w:spacing w:before="156" w:after="156"/>
        <w:rPr>
          <w:rFonts w:hint="eastAsia"/>
        </w:rPr>
      </w:pPr>
      <w:r>
        <w:rPr>
          <w:rFonts w:hint="eastAsia"/>
        </w:rPr>
        <w:t>港口含油污水再生处理工艺流程</w:t>
      </w:r>
    </w:p>
    <w:bookmarkEnd w:id="63"/>
    <w:bookmarkEnd w:id="64"/>
    <w:bookmarkEnd w:id="65"/>
    <w:p>
      <w:pPr>
        <w:pStyle w:val="212"/>
        <w:rPr>
          <w:rFonts w:hint="eastAsia"/>
        </w:rPr>
      </w:pPr>
      <w:r>
        <w:rPr>
          <w:rFonts w:hint="eastAsia"/>
        </w:rPr>
        <w:t>港口生活污水再生处理宜采用图A.5、图A.6所示工艺流程。</w:t>
      </w:r>
    </w:p>
    <w:p>
      <w:pPr>
        <w:pStyle w:val="183"/>
        <w:ind w:firstLine="360"/>
        <w:rPr>
          <w:rFonts w:hint="eastAsia"/>
        </w:rPr>
      </w:pPr>
      <w:bookmarkStart w:id="70" w:name="_Toc187500609"/>
      <w:r>
        <w:drawing>
          <wp:inline distT="0" distB="0" distL="0" distR="0">
            <wp:extent cx="5088255" cy="1654175"/>
            <wp:effectExtent l="0" t="0" r="0" b="3175"/>
            <wp:docPr id="17446901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690119" name="图片 1"/>
                    <pic:cNvPicPr>
                      <a:picLocks noChangeAspect="1"/>
                    </pic:cNvPicPr>
                  </pic:nvPicPr>
                  <pic:blipFill>
                    <a:blip r:embed="rId20"/>
                    <a:stretch>
                      <a:fillRect/>
                    </a:stretch>
                  </pic:blipFill>
                  <pic:spPr>
                    <a:xfrm>
                      <a:off x="0" y="0"/>
                      <a:ext cx="5102802" cy="1659307"/>
                    </a:xfrm>
                    <a:prstGeom prst="rect">
                      <a:avLst/>
                    </a:prstGeom>
                  </pic:spPr>
                </pic:pic>
              </a:graphicData>
            </a:graphic>
          </wp:inline>
        </w:drawing>
      </w:r>
      <w:bookmarkEnd w:id="70"/>
    </w:p>
    <w:p>
      <w:pPr>
        <w:pStyle w:val="84"/>
        <w:spacing w:before="156" w:after="156"/>
        <w:rPr>
          <w:rFonts w:hint="eastAsia"/>
        </w:rPr>
      </w:pPr>
      <w:r>
        <w:rPr>
          <w:rFonts w:hint="eastAsia"/>
        </w:rPr>
        <w:t>生活污水再生处理工艺流程（膜生物反应器法）</w:t>
      </w:r>
    </w:p>
    <w:p>
      <w:pPr>
        <w:pStyle w:val="183"/>
        <w:ind w:firstLine="360"/>
        <w:rPr>
          <w:rFonts w:hint="eastAsia"/>
        </w:rPr>
      </w:pPr>
      <w:bookmarkStart w:id="71" w:name="_Toc187500610"/>
      <w:r>
        <w:drawing>
          <wp:inline distT="0" distB="0" distL="0" distR="0">
            <wp:extent cx="4977130" cy="1856740"/>
            <wp:effectExtent l="0" t="0" r="0" b="0"/>
            <wp:docPr id="14488025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802565" name="图片 1"/>
                    <pic:cNvPicPr>
                      <a:picLocks noChangeAspect="1"/>
                    </pic:cNvPicPr>
                  </pic:nvPicPr>
                  <pic:blipFill>
                    <a:blip r:embed="rId21"/>
                    <a:stretch>
                      <a:fillRect/>
                    </a:stretch>
                  </pic:blipFill>
                  <pic:spPr>
                    <a:xfrm>
                      <a:off x="0" y="0"/>
                      <a:ext cx="4990964" cy="1862225"/>
                    </a:xfrm>
                    <a:prstGeom prst="rect">
                      <a:avLst/>
                    </a:prstGeom>
                  </pic:spPr>
                </pic:pic>
              </a:graphicData>
            </a:graphic>
          </wp:inline>
        </w:drawing>
      </w:r>
      <w:bookmarkEnd w:id="71"/>
    </w:p>
    <w:p>
      <w:pPr>
        <w:pStyle w:val="84"/>
        <w:spacing w:before="156" w:after="156"/>
        <w:rPr>
          <w:rFonts w:hint="eastAsia"/>
        </w:rPr>
      </w:pPr>
      <w:r>
        <w:rPr>
          <w:rFonts w:hint="eastAsia"/>
        </w:rPr>
        <w:t>生活污水再生处理工艺流程（接触氧化/活性污泥法）</w:t>
      </w:r>
    </w:p>
    <w:p>
      <w:pPr>
        <w:pStyle w:val="57"/>
        <w:ind w:firstLine="420"/>
        <w:rPr>
          <w:rFonts w:hint="eastAsia"/>
        </w:rPr>
      </w:pPr>
    </w:p>
    <w:p>
      <w:pPr>
        <w:pStyle w:val="57"/>
        <w:ind w:firstLine="420"/>
        <w:rPr>
          <w:rFonts w:hint="eastAsia"/>
        </w:rPr>
      </w:pPr>
    </w:p>
    <w:p>
      <w:pPr>
        <w:pStyle w:val="57"/>
        <w:ind w:firstLine="420"/>
        <w:rPr>
          <w:rFonts w:hint="eastAsia"/>
        </w:rPr>
      </w:pPr>
    </w:p>
    <w:p>
      <w:pPr>
        <w:pStyle w:val="57"/>
        <w:ind w:firstLine="420"/>
        <w:rPr>
          <w:rFonts w:hint="eastAsia"/>
        </w:rPr>
      </w:pPr>
    </w:p>
    <w:bookmarkEnd w:id="60"/>
    <w:p>
      <w:pPr>
        <w:pStyle w:val="57"/>
        <w:ind w:firstLine="420"/>
        <w:sectPr>
          <w:pgSz w:w="11906" w:h="16838"/>
          <w:pgMar w:top="1928" w:right="1134" w:bottom="1134" w:left="1134" w:header="1418" w:footer="1134" w:gutter="284"/>
          <w:cols w:space="425" w:num="1"/>
          <w:formProt w:val="0"/>
          <w:docGrid w:type="lines" w:linePitch="312" w:charSpace="0"/>
        </w:sectPr>
      </w:pPr>
      <w:bookmarkStart w:id="72" w:name="BookMark6"/>
    </w:p>
    <w:p>
      <w:pPr>
        <w:pStyle w:val="64"/>
        <w:spacing w:after="156"/>
        <w:rPr>
          <w:rFonts w:hint="eastAsia"/>
        </w:rPr>
      </w:pPr>
      <w:bookmarkStart w:id="73" w:name="_Toc187500611"/>
      <w:r>
        <w:rPr>
          <w:rFonts w:hint="eastAsia"/>
          <w:spacing w:val="105"/>
        </w:rPr>
        <w:t>参考文</w:t>
      </w:r>
      <w:r>
        <w:rPr>
          <w:rFonts w:hint="eastAsia"/>
        </w:rPr>
        <w:t>献</w:t>
      </w:r>
      <w:bookmarkEnd w:id="73"/>
    </w:p>
    <w:p>
      <w:pPr>
        <w:pStyle w:val="57"/>
        <w:ind w:firstLine="420"/>
        <w:rPr>
          <w:rFonts w:hint="eastAsia"/>
        </w:rPr>
      </w:pPr>
      <w:r>
        <w:rPr>
          <w:rFonts w:hint="eastAsia"/>
        </w:rPr>
        <w:t>[1] GB/T 6920 水质 pH值的测定 玻璃电极法</w:t>
      </w:r>
    </w:p>
    <w:p>
      <w:pPr>
        <w:pStyle w:val="57"/>
        <w:ind w:firstLine="420"/>
        <w:rPr>
          <w:rFonts w:hint="eastAsia"/>
        </w:rPr>
      </w:pPr>
      <w:r>
        <w:rPr>
          <w:rFonts w:hint="eastAsia"/>
        </w:rPr>
        <w:t>[2] GB 8978 污水综合排放标准</w:t>
      </w:r>
    </w:p>
    <w:p>
      <w:pPr>
        <w:pStyle w:val="57"/>
        <w:ind w:firstLine="420"/>
        <w:rPr>
          <w:rFonts w:hint="eastAsia"/>
        </w:rPr>
      </w:pPr>
      <w:r>
        <w:rPr>
          <w:rFonts w:hint="eastAsia"/>
        </w:rPr>
        <w:t>[3] GB/T 11893 水质 总磷的测定 钼酸铵分光光度法</w:t>
      </w:r>
    </w:p>
    <w:p>
      <w:pPr>
        <w:pStyle w:val="57"/>
        <w:ind w:firstLine="420"/>
        <w:rPr>
          <w:rFonts w:hint="eastAsia"/>
        </w:rPr>
      </w:pPr>
      <w:r>
        <w:rPr>
          <w:rFonts w:hint="eastAsia"/>
        </w:rPr>
        <w:t>[4] GB/T 11894 水质 总氮的测定 碱性过硫酸钾消解紫外分光光度法</w:t>
      </w:r>
    </w:p>
    <w:p>
      <w:pPr>
        <w:pStyle w:val="57"/>
        <w:ind w:firstLine="420"/>
        <w:rPr>
          <w:rFonts w:hint="eastAsia"/>
        </w:rPr>
      </w:pPr>
      <w:r>
        <w:rPr>
          <w:rFonts w:hint="eastAsia"/>
        </w:rPr>
        <w:t>[5] GB/T 11914 水质 化学需氧量的测定 重铬酸盐法</w:t>
      </w:r>
    </w:p>
    <w:p>
      <w:pPr>
        <w:pStyle w:val="57"/>
        <w:ind w:firstLine="420"/>
        <w:rPr>
          <w:rFonts w:hint="eastAsia"/>
        </w:rPr>
      </w:pPr>
      <w:r>
        <w:rPr>
          <w:rFonts w:hint="eastAsia"/>
        </w:rPr>
        <w:t>[6] GB/T 13200水质 浊度的测定</w:t>
      </w:r>
    </w:p>
    <w:p>
      <w:pPr>
        <w:pStyle w:val="57"/>
        <w:ind w:firstLine="420"/>
        <w:rPr>
          <w:rFonts w:hint="eastAsia"/>
        </w:rPr>
      </w:pPr>
      <w:r>
        <w:rPr>
          <w:rFonts w:hint="eastAsia"/>
        </w:rPr>
        <w:t>[7] GB 18918 城镇污水处理厂污染物排放标准</w:t>
      </w:r>
    </w:p>
    <w:p>
      <w:pPr>
        <w:pStyle w:val="57"/>
        <w:ind w:firstLine="420"/>
        <w:rPr>
          <w:rFonts w:hint="eastAsia"/>
        </w:rPr>
      </w:pPr>
      <w:r>
        <w:rPr>
          <w:rFonts w:hint="eastAsia"/>
        </w:rPr>
        <w:t>[8] GB/T 19923  城市污水再生利用 工业用水水质</w:t>
      </w:r>
    </w:p>
    <w:p>
      <w:pPr>
        <w:pStyle w:val="57"/>
        <w:ind w:firstLine="420"/>
        <w:rPr>
          <w:rFonts w:hint="eastAsia"/>
        </w:rPr>
      </w:pPr>
      <w:r>
        <w:rPr>
          <w:rFonts w:hint="eastAsia"/>
        </w:rPr>
        <w:t>[9] CJJ60  城镇污水处理厂运营、维护及安全技术规程</w:t>
      </w:r>
    </w:p>
    <w:p>
      <w:pPr>
        <w:pStyle w:val="57"/>
        <w:ind w:firstLine="420"/>
        <w:rPr>
          <w:rFonts w:hint="eastAsia"/>
        </w:rPr>
      </w:pPr>
      <w:r>
        <w:rPr>
          <w:rFonts w:hint="eastAsia"/>
        </w:rPr>
        <w:t>[10] HJ 535 水质 氨氮的测定 纳氏试剂分光光度法</w:t>
      </w:r>
    </w:p>
    <w:p>
      <w:pPr>
        <w:pStyle w:val="57"/>
        <w:ind w:firstLine="420"/>
        <w:rPr>
          <w:rFonts w:hint="eastAsia"/>
        </w:rPr>
      </w:pPr>
      <w:r>
        <w:rPr>
          <w:rFonts w:hint="eastAsia"/>
        </w:rPr>
        <w:t>[11] HJ 580  含油污水处理工程技术规范</w:t>
      </w:r>
    </w:p>
    <w:p>
      <w:pPr>
        <w:pStyle w:val="57"/>
        <w:ind w:firstLine="420"/>
        <w:rPr>
          <w:rFonts w:hint="eastAsia"/>
        </w:rPr>
      </w:pPr>
      <w:r>
        <w:rPr>
          <w:rFonts w:hint="eastAsia"/>
        </w:rPr>
        <w:t>[12] HJ 637 水质 石油类和动物油类的测定 红外分光光度法</w:t>
      </w:r>
    </w:p>
    <w:p>
      <w:pPr>
        <w:pStyle w:val="57"/>
        <w:ind w:firstLine="420"/>
        <w:rPr>
          <w:rFonts w:hint="eastAsia"/>
        </w:rPr>
      </w:pPr>
      <w:r>
        <w:rPr>
          <w:rFonts w:hint="eastAsia"/>
        </w:rPr>
        <w:t>[13] HJ/T 91 地表水和污水监测规范</w:t>
      </w:r>
    </w:p>
    <w:p>
      <w:pPr>
        <w:pStyle w:val="57"/>
        <w:ind w:firstLine="420"/>
        <w:rPr>
          <w:rFonts w:hint="eastAsia"/>
        </w:rPr>
      </w:pPr>
      <w:r>
        <w:rPr>
          <w:rFonts w:hint="eastAsia"/>
        </w:rPr>
        <w:t>[14] JT/T 645.1 公路服务区污水再生利用 第1部分：水质</w:t>
      </w:r>
    </w:p>
    <w:p>
      <w:pPr>
        <w:pStyle w:val="57"/>
        <w:ind w:firstLine="420"/>
      </w:pPr>
    </w:p>
    <w:bookmarkEnd w:id="72"/>
    <w:p>
      <w:pPr>
        <w:pStyle w:val="57"/>
        <w:ind w:firstLine="0" w:firstLineChars="0"/>
        <w:jc w:val="center"/>
        <w:rPr>
          <w:rFonts w:hint="eastAsia"/>
        </w:rPr>
      </w:pPr>
      <w:bookmarkStart w:id="74" w:name="BookMark8"/>
      <w:r>
        <w:rPr>
          <w:rFonts w:hint="eastAsia"/>
        </w:rPr>
        <w:drawing>
          <wp:inline distT="0" distB="0" distL="0" distR="0">
            <wp:extent cx="1485900" cy="317500"/>
            <wp:effectExtent l="0" t="0" r="0" b="6350"/>
            <wp:docPr id="1103176431" name="图片 3"/>
            <wp:cNvGraphicFramePr/>
            <a:graphic xmlns:a="http://schemas.openxmlformats.org/drawingml/2006/main">
              <a:graphicData uri="http://schemas.openxmlformats.org/drawingml/2006/picture">
                <pic:pic xmlns:pic="http://schemas.openxmlformats.org/drawingml/2006/picture">
                  <pic:nvPicPr>
                    <pic:cNvPr id="1103176431" name="图片 3"/>
                    <pic:cNvPicPr/>
                  </pic:nvPicPr>
                  <pic:blipFill>
                    <a:blip r:embed="rId22">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74"/>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rPr>
        <w:rFonts w:hint="eastAsia"/>
      </w:rPr>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115"/>
    <w:rsid w:val="0000040A"/>
    <w:rsid w:val="00000A94"/>
    <w:rsid w:val="00001972"/>
    <w:rsid w:val="00001D9A"/>
    <w:rsid w:val="00007B3A"/>
    <w:rsid w:val="000107E0"/>
    <w:rsid w:val="00011FDE"/>
    <w:rsid w:val="00012FFD"/>
    <w:rsid w:val="00014162"/>
    <w:rsid w:val="00014340"/>
    <w:rsid w:val="000152F3"/>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C39"/>
    <w:rsid w:val="00067F1E"/>
    <w:rsid w:val="00071CC0"/>
    <w:rsid w:val="00073C8C"/>
    <w:rsid w:val="00077B64"/>
    <w:rsid w:val="00080A1C"/>
    <w:rsid w:val="00082317"/>
    <w:rsid w:val="00083D2C"/>
    <w:rsid w:val="00085754"/>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3F69"/>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17887"/>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22C5"/>
    <w:rsid w:val="001B5C83"/>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19D"/>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0D7"/>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A70"/>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3C3"/>
    <w:rsid w:val="00441AE7"/>
    <w:rsid w:val="00445574"/>
    <w:rsid w:val="004467FB"/>
    <w:rsid w:val="00452D6B"/>
    <w:rsid w:val="00454484"/>
    <w:rsid w:val="0045517B"/>
    <w:rsid w:val="00460115"/>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39D"/>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0F58"/>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0DA"/>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0D7"/>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076E1"/>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B7050"/>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B83"/>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015"/>
    <w:rsid w:val="00B54ABC"/>
    <w:rsid w:val="00B54DDE"/>
    <w:rsid w:val="00B56FBE"/>
    <w:rsid w:val="00B60ACF"/>
    <w:rsid w:val="00B62B58"/>
    <w:rsid w:val="00B65149"/>
    <w:rsid w:val="00B66567"/>
    <w:rsid w:val="00B66F52"/>
    <w:rsid w:val="00B66FE5"/>
    <w:rsid w:val="00B72880"/>
    <w:rsid w:val="00B74E63"/>
    <w:rsid w:val="00B758BF"/>
    <w:rsid w:val="00B77EC8"/>
    <w:rsid w:val="00B827A6"/>
    <w:rsid w:val="00B831CE"/>
    <w:rsid w:val="00B86677"/>
    <w:rsid w:val="00B87131"/>
    <w:rsid w:val="00B91CD9"/>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5EC0"/>
    <w:rsid w:val="00BE7B8D"/>
    <w:rsid w:val="00BF0993"/>
    <w:rsid w:val="00BF10A9"/>
    <w:rsid w:val="00BF1703"/>
    <w:rsid w:val="00BF231C"/>
    <w:rsid w:val="00BF51E5"/>
    <w:rsid w:val="00BF74A6"/>
    <w:rsid w:val="00C013AD"/>
    <w:rsid w:val="00C04904"/>
    <w:rsid w:val="00C05049"/>
    <w:rsid w:val="00C056B3"/>
    <w:rsid w:val="00C103E5"/>
    <w:rsid w:val="00C13319"/>
    <w:rsid w:val="00C13EE9"/>
    <w:rsid w:val="00C21540"/>
    <w:rsid w:val="00C21906"/>
    <w:rsid w:val="00C21BFA"/>
    <w:rsid w:val="00C22148"/>
    <w:rsid w:val="00C230EE"/>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2D8"/>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149A1"/>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51B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0CD9"/>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3911"/>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232"/>
    <w:rsid w:val="00F06D37"/>
    <w:rsid w:val="00F07B9D"/>
    <w:rsid w:val="00F11586"/>
    <w:rsid w:val="00F1183B"/>
    <w:rsid w:val="00F11C9F"/>
    <w:rsid w:val="00F12263"/>
    <w:rsid w:val="00F1409D"/>
    <w:rsid w:val="00F14214"/>
    <w:rsid w:val="00F157A9"/>
    <w:rsid w:val="00F205C5"/>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65F"/>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085787"/>
    <w:rsid w:val="0BF92B4D"/>
    <w:rsid w:val="20B27251"/>
    <w:rsid w:val="32961F3A"/>
    <w:rsid w:val="33F9275B"/>
    <w:rsid w:val="41DC05DE"/>
    <w:rsid w:val="51A21D31"/>
    <w:rsid w:val="5CC20F07"/>
    <w:rsid w:val="5F80154C"/>
    <w:rsid w:val="60CC113B"/>
    <w:rsid w:val="61270136"/>
    <w:rsid w:val="620A6DEB"/>
    <w:rsid w:val="67EB7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7"/>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6"/>
    <w:semiHidden/>
    <w:unhideWhenUsed/>
    <w:qFormat/>
    <w:uiPriority w:val="99"/>
    <w:rPr>
      <w:sz w:val="18"/>
      <w:szCs w:val="18"/>
    </w:rPr>
  </w:style>
  <w:style w:type="paragraph" w:styleId="17">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Body Text 2"/>
    <w:basedOn w:val="1"/>
    <w:link w:val="231"/>
    <w:qFormat/>
    <w:uiPriority w:val="0"/>
    <w:pPr>
      <w:autoSpaceDE w:val="0"/>
      <w:autoSpaceDN w:val="0"/>
      <w:adjustRightInd/>
      <w:spacing w:after="120" w:line="480" w:lineRule="auto"/>
      <w:jc w:val="left"/>
    </w:pPr>
    <w:rPr>
      <w:rFonts w:ascii="宋体" w:hAnsi="宋体" w:cs="宋体"/>
      <w:kern w:val="0"/>
      <w:sz w:val="22"/>
      <w:szCs w:val="22"/>
      <w:lang w:eastAsia="en-US"/>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qFormat/>
    <w:uiPriority w:val="0"/>
    <w:rPr>
      <w:b/>
      <w:bCs/>
      <w:kern w:val="44"/>
      <w:sz w:val="44"/>
      <w:szCs w:val="44"/>
    </w:rPr>
  </w:style>
  <w:style w:type="character" w:customStyle="1" w:styleId="36">
    <w:name w:val="标题 2 字符"/>
    <w:link w:val="3"/>
    <w:qFormat/>
    <w:uiPriority w:val="0"/>
    <w:rPr>
      <w:rFonts w:ascii="Arial" w:hAnsi="Arial" w:eastAsia="黑体"/>
      <w:b/>
      <w:bCs/>
      <w:kern w:val="2"/>
      <w:sz w:val="32"/>
      <w:szCs w:val="32"/>
    </w:rPr>
  </w:style>
  <w:style w:type="character" w:customStyle="1" w:styleId="37">
    <w:name w:val="标题 3 字符"/>
    <w:link w:val="4"/>
    <w:qFormat/>
    <w:uiPriority w:val="0"/>
    <w:rPr>
      <w:b/>
      <w:bCs/>
      <w:kern w:val="2"/>
      <w:sz w:val="32"/>
      <w:szCs w:val="32"/>
    </w:rPr>
  </w:style>
  <w:style w:type="character" w:customStyle="1" w:styleId="38">
    <w:name w:val="标题 4 字符"/>
    <w:link w:val="5"/>
    <w:qFormat/>
    <w:uiPriority w:val="0"/>
    <w:rPr>
      <w:rFonts w:ascii="Arial" w:hAnsi="Arial" w:eastAsia="黑体"/>
      <w:b/>
      <w:bCs/>
      <w:kern w:val="2"/>
      <w:sz w:val="28"/>
      <w:szCs w:val="28"/>
    </w:rPr>
  </w:style>
  <w:style w:type="character" w:customStyle="1" w:styleId="39">
    <w:name w:val="标题 5 字符"/>
    <w:link w:val="6"/>
    <w:qFormat/>
    <w:uiPriority w:val="0"/>
    <w:rPr>
      <w:b/>
      <w:bCs/>
      <w:kern w:val="2"/>
      <w:sz w:val="28"/>
      <w:szCs w:val="28"/>
    </w:rPr>
  </w:style>
  <w:style w:type="character" w:customStyle="1" w:styleId="40">
    <w:name w:val="标题 6 字符"/>
    <w:link w:val="7"/>
    <w:qFormat/>
    <w:uiPriority w:val="0"/>
    <w:rPr>
      <w:rFonts w:ascii="Arial" w:hAnsi="Arial" w:eastAsia="黑体"/>
      <w:b/>
      <w:bCs/>
      <w:kern w:val="2"/>
      <w:sz w:val="24"/>
      <w:szCs w:val="24"/>
    </w:rPr>
  </w:style>
  <w:style w:type="character" w:customStyle="1" w:styleId="41">
    <w:name w:val="标题 7 字符"/>
    <w:link w:val="8"/>
    <w:qFormat/>
    <w:uiPriority w:val="0"/>
    <w:rPr>
      <w:b/>
      <w:bCs/>
      <w:kern w:val="2"/>
      <w:sz w:val="24"/>
      <w:szCs w:val="24"/>
    </w:rPr>
  </w:style>
  <w:style w:type="character" w:customStyle="1" w:styleId="42">
    <w:name w:val="标题 8 字符"/>
    <w:link w:val="9"/>
    <w:qFormat/>
    <w:uiPriority w:val="0"/>
    <w:rPr>
      <w:rFonts w:ascii="Arial" w:hAnsi="Arial" w:eastAsia="黑体"/>
      <w:kern w:val="2"/>
      <w:sz w:val="24"/>
      <w:szCs w:val="24"/>
    </w:rPr>
  </w:style>
  <w:style w:type="character" w:customStyle="1" w:styleId="43">
    <w:name w:val="标题 9 字符"/>
    <w:link w:val="10"/>
    <w:qFormat/>
    <w:uiPriority w:val="0"/>
    <w:rPr>
      <w:rFonts w:ascii="Arial" w:hAnsi="Arial" w:eastAsia="黑体"/>
      <w:kern w:val="2"/>
      <w:sz w:val="21"/>
      <w:szCs w:val="21"/>
    </w:rPr>
  </w:style>
  <w:style w:type="character" w:customStyle="1" w:styleId="44">
    <w:name w:val="页眉 字符"/>
    <w:link w:val="18"/>
    <w:qFormat/>
    <w:uiPriority w:val="99"/>
    <w:rPr>
      <w:kern w:val="2"/>
      <w:sz w:val="18"/>
      <w:szCs w:val="18"/>
    </w:rPr>
  </w:style>
  <w:style w:type="character" w:customStyle="1" w:styleId="45">
    <w:name w:val="页脚 字符"/>
    <w:link w:val="17"/>
    <w:qFormat/>
    <w:uiPriority w:val="99"/>
    <w:rPr>
      <w:rFonts w:ascii="宋体"/>
      <w:kern w:val="2"/>
      <w:sz w:val="18"/>
      <w:szCs w:val="18"/>
    </w:rPr>
  </w:style>
  <w:style w:type="character" w:customStyle="1" w:styleId="46">
    <w:name w:val="批注框文本 字符"/>
    <w:link w:val="16"/>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kern w:val="2"/>
      <w:sz w:val="21"/>
      <w:szCs w:val="21"/>
    </w:rPr>
  </w:style>
  <w:style w:type="character" w:customStyle="1" w:styleId="49">
    <w:name w:val="标题 字符"/>
    <w:link w:val="26"/>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1"/>
    <w:semiHidden/>
    <w:qFormat/>
    <w:uiPriority w:val="0"/>
    <w:rPr>
      <w:rFonts w:ascii="宋体"/>
      <w:kern w:val="2"/>
      <w:sz w:val="18"/>
      <w:szCs w:val="18"/>
    </w:rPr>
  </w:style>
  <w:style w:type="paragraph" w:customStyle="1" w:styleId="101">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wrap="around" w:vAnchor="page" w:hAnchor="page" w:x="1419" w:y="14097"/>
    </w:pPr>
  </w:style>
  <w:style w:type="paragraph" w:customStyle="1" w:styleId="195">
    <w:name w:val="其他实施日期"/>
    <w:basedOn w:val="155"/>
    <w:qFormat/>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character" w:customStyle="1" w:styleId="231">
    <w:name w:val="正文文本 2 字符"/>
    <w:basedOn w:val="29"/>
    <w:link w:val="25"/>
    <w:qFormat/>
    <w:uiPriority w:val="0"/>
    <w:rPr>
      <w:rFonts w:ascii="宋体" w:hAnsi="宋体" w:cs="宋体"/>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glossaryDocument" Target="glossary/document.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8.jpeg"/><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6D882E26F104EACBD769AE0C7B7625C"/>
        <w:style w:val=""/>
        <w:category>
          <w:name w:val="常规"/>
          <w:gallery w:val="placeholder"/>
        </w:category>
        <w:types>
          <w:type w:val="bbPlcHdr"/>
        </w:types>
        <w:behaviors>
          <w:behavior w:val="content"/>
        </w:behaviors>
        <w:description w:val=""/>
        <w:guid w:val="{0965EAD1-4614-43D6-938D-C29F5E9DB195}"/>
      </w:docPartPr>
      <w:docPartBody>
        <w:p>
          <w:pPr>
            <w:pStyle w:val="5"/>
            <w:rPr>
              <w:rFonts w:hint="eastAsia"/>
            </w:rPr>
          </w:pPr>
          <w:r>
            <w:rPr>
              <w:rStyle w:val="4"/>
              <w:rFonts w:hint="eastAsia"/>
            </w:rPr>
            <w:t>单击或点击此处输入文字。</w:t>
          </w:r>
        </w:p>
      </w:docPartBody>
    </w:docPart>
    <w:docPart>
      <w:docPartPr>
        <w:name w:val="99D1D3387B5F4EC790D6CE0768F7A733"/>
        <w:style w:val=""/>
        <w:category>
          <w:name w:val="常规"/>
          <w:gallery w:val="placeholder"/>
        </w:category>
        <w:types>
          <w:type w:val="bbPlcHdr"/>
        </w:types>
        <w:behaviors>
          <w:behavior w:val="content"/>
        </w:behaviors>
        <w:description w:val=""/>
        <w:guid w:val="{F296FE82-21B5-447F-9974-6A3DEB754AD4}"/>
      </w:docPartPr>
      <w:docPartBody>
        <w:p>
          <w:pPr>
            <w:pStyle w:val="6"/>
            <w:rPr>
              <w:rFonts w:hint="eastAsia"/>
            </w:rPr>
          </w:pPr>
          <w:r>
            <w:rPr>
              <w:rStyle w:val="4"/>
              <w:rFonts w:hint="eastAsia"/>
            </w:rPr>
            <w:t>选择一项。</w:t>
          </w:r>
        </w:p>
      </w:docPartBody>
    </w:docPart>
    <w:docPart>
      <w:docPartPr>
        <w:name w:val="0BB8AED922504576AC5C0EE26398A32A"/>
        <w:style w:val=""/>
        <w:category>
          <w:name w:val="常规"/>
          <w:gallery w:val="placeholder"/>
        </w:category>
        <w:types>
          <w:type w:val="bbPlcHdr"/>
        </w:types>
        <w:behaviors>
          <w:behavior w:val="content"/>
        </w:behaviors>
        <w:description w:val=""/>
        <w:guid w:val="{7B2A7E07-E43B-4200-B606-AA64227BEE9D}"/>
      </w:docPartPr>
      <w:docPartBody>
        <w:p>
          <w:pPr>
            <w:pStyle w:val="7"/>
            <w:rPr>
              <w:rFonts w:hint="eastAsia"/>
            </w:rPr>
          </w:pPr>
          <w:r>
            <w:rPr>
              <w:rStyle w:val="4"/>
              <w:rFonts w:hint="eastAsia"/>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oNotDisplayPageBoundaries w:val="1"/>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531"/>
    <w:rsid w:val="00580F58"/>
    <w:rsid w:val="009642C5"/>
    <w:rsid w:val="00AE6474"/>
    <w:rsid w:val="00C632D8"/>
    <w:rsid w:val="00C865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96D882E26F104EACBD769AE0C7B7625C"/>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99D1D3387B5F4EC790D6CE0768F7A733"/>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0BB8AED922504576AC5C0EE26398A32A"/>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12</Pages>
  <Words>1066</Words>
  <Characters>6082</Characters>
  <Lines>50</Lines>
  <Paragraphs>14</Paragraphs>
  <TotalTime>1</TotalTime>
  <ScaleCrop>false</ScaleCrop>
  <LinksUpToDate>false</LinksUpToDate>
  <CharactersWithSpaces>7134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2025-01-11T04:22:00Z</dcterms:created>
  <dc:creator>123</dc:creator>
  <dc:description>&lt;config cover="true" show_menu="true" version="1.0.0" doctype="SDKXY"&gt;_x000d_
&lt;/config&gt;</dc:description>
  <cp:lastModifiedBy>穆霄刚</cp:lastModifiedBy>
  <cp:lastPrinted>2020-08-30T10:00:00Z</cp:lastPrinted>
  <dcterms:modified xsi:type="dcterms:W3CDTF">2025-02-24T01:08:54Z</dcterms:modified>
  <dc:title>地方标准</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2052-11.8.2.12085</vt:lpwstr>
  </property>
  <property fmtid="{D5CDD505-2E9C-101B-9397-08002B2CF9AE}" pid="15" name="ICV">
    <vt:lpwstr>14DFC1AFBEAB411181EBCA1C7E73FAFB</vt:lpwstr>
  </property>
</Properties>
</file>