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1C76E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A5DD7A8">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09C3BB40">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27.010</w:t>
            </w:r>
            <w:r>
              <w:rPr>
                <w:rFonts w:ascii="黑体" w:hAnsi="黑体" w:eastAsia="黑体"/>
                <w:sz w:val="21"/>
                <w:szCs w:val="21"/>
              </w:rPr>
              <w:t xml:space="preserve"> </w:t>
            </w:r>
            <w:r>
              <w:rPr>
                <w:rFonts w:ascii="黑体" w:hAnsi="黑体" w:eastAsia="黑体"/>
                <w:sz w:val="21"/>
                <w:szCs w:val="21"/>
              </w:rPr>
              <w:fldChar w:fldCharType="end"/>
            </w:r>
            <w:bookmarkEnd w:id="0"/>
          </w:p>
        </w:tc>
      </w:tr>
      <w:tr w14:paraId="0ECC9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74BE858">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311E81C1">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F 01</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5EBA5C5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15D26C2C">
            <w:pPr>
              <w:pStyle w:val="50"/>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0EBBE8C6">
      <w:pPr>
        <w:pStyle w:val="51"/>
        <w:framePr w:w="9639" w:h="624" w:hRule="exact" w:hSpace="181" w:vSpace="181"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河</w:t>
      </w:r>
      <w:r>
        <w:rPr>
          <w:rFonts w:hint="eastAsia" w:ascii="黑体" w:eastAsia="黑体"/>
          <w:b w:val="0"/>
          <w:w w:val="100"/>
          <w:sz w:val="48"/>
        </w:rPr>
        <w:t>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062A10DD">
      <w:pPr>
        <w:pStyle w:val="196"/>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XXXX</w:t>
      </w:r>
      <w:r>
        <w:fldChar w:fldCharType="end"/>
      </w:r>
      <w:bookmarkEnd w:id="7"/>
    </w:p>
    <w:p w14:paraId="78C7CA06">
      <w:pPr>
        <w:pStyle w:val="197"/>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026EF640">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362C71CD">
      <w:pPr>
        <w:pStyle w:val="51"/>
        <w:framePr w:w="9639" w:h="6976" w:hRule="exact" w:hSpace="0" w:vSpace="0" w:hAnchor="page" w:y="6408"/>
        <w:jc w:val="center"/>
        <w:rPr>
          <w:rFonts w:hint="eastAsia" w:ascii="黑体" w:hAnsi="黑体" w:eastAsia="黑体"/>
          <w:b w:val="0"/>
          <w:bCs w:val="0"/>
          <w:w w:val="100"/>
        </w:rPr>
      </w:pPr>
    </w:p>
    <w:p w14:paraId="68851804">
      <w:pPr>
        <w:pStyle w:val="198"/>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公共机构绿色节能</w:t>
      </w:r>
    </w:p>
    <w:p w14:paraId="3091D5CD">
      <w:pPr>
        <w:pStyle w:val="198"/>
        <w:framePr w:h="6974" w:hRule="exact" w:wrap="around" w:x="1419" w:anchorLock="1"/>
        <w:rPr>
          <w:rFonts w:hint="eastAsia"/>
        </w:rPr>
      </w:pPr>
      <w:r>
        <w:rPr>
          <w:rFonts w:hint="eastAsia"/>
        </w:rPr>
        <w:t>第7部分：绿色评价</w:t>
      </w:r>
      <w:r>
        <w:fldChar w:fldCharType="end"/>
      </w:r>
      <w:bookmarkEnd w:id="9"/>
    </w:p>
    <w:p w14:paraId="18A91667">
      <w:pPr>
        <w:framePr w:w="9639" w:h="6974" w:hRule="exact" w:wrap="around" w:vAnchor="page" w:hAnchor="page" w:x="1419" w:y="6408" w:anchorLock="1"/>
        <w:ind w:left="-1418"/>
      </w:pPr>
    </w:p>
    <w:p w14:paraId="7C403E48">
      <w:pPr>
        <w:pStyle w:val="126"/>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14:paraId="72EEE23F">
      <w:pPr>
        <w:framePr w:w="9639" w:h="6974" w:hRule="exact" w:wrap="around" w:vAnchor="page" w:hAnchor="page" w:x="1419" w:y="6408" w:anchorLock="1"/>
        <w:spacing w:line="760" w:lineRule="exact"/>
        <w:ind w:left="-1418"/>
      </w:pPr>
    </w:p>
    <w:p w14:paraId="089685FA">
      <w:pPr>
        <w:pStyle w:val="126"/>
        <w:framePr w:w="9639" w:h="6974" w:hRule="exact" w:wrap="around" w:vAnchor="page" w:hAnchor="page" w:x="1419" w:y="6408" w:anchorLock="1"/>
        <w:textAlignment w:val="bottom"/>
        <w:rPr>
          <w:rFonts w:eastAsia="黑体"/>
          <w:szCs w:val="28"/>
        </w:rPr>
      </w:pPr>
    </w:p>
    <w:p w14:paraId="50709ECD">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689D85DE">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B7A06F9">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1AF03899">
      <w:pPr>
        <w:pStyle w:val="194"/>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rPr>
        <w:t>2024</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9E9EAE6">
      <w:pPr>
        <w:pStyle w:val="195"/>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rPr>
        <w:t>2024</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20359114">
      <w:pPr>
        <w:pStyle w:val="152"/>
        <w:framePr w:h="584" w:hRule="exact" w:hSpace="181" w:vSpace="181"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河</w:t>
      </w:r>
      <w:r>
        <w:rPr>
          <w:rFonts w:hint="eastAsia" w:hAnsi="黑体"/>
          <w:w w:val="100"/>
          <w:sz w:val="28"/>
        </w:rPr>
        <w:t>北省市场监督管理局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029A611C">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71B3C39">
      <w:pPr>
        <w:pStyle w:val="92"/>
        <w:spacing w:after="468"/>
      </w:pPr>
      <w:bookmarkStart w:id="21" w:name="BookMark1"/>
      <w:r>
        <w:rPr>
          <w:rFonts w:hint="eastAsia"/>
          <w:spacing w:val="320"/>
        </w:rPr>
        <w:t>目</w:t>
      </w:r>
      <w:r>
        <w:rPr>
          <w:rFonts w:hint="eastAsia"/>
        </w:rPr>
        <w:t>次</w:t>
      </w:r>
    </w:p>
    <w:p w14:paraId="5B532498">
      <w:pPr>
        <w:pStyle w:val="19"/>
        <w:tabs>
          <w:tab w:val="right" w:leader="dot" w:pos="9354"/>
        </w:tabs>
      </w:pPr>
      <w:r>
        <w:fldChar w:fldCharType="begin"/>
      </w:r>
      <w:r>
        <w:instrText xml:space="preserve"> TOC \o "1-1" \h \t "标准文件_一级条标题,2,标准文件_附录一级条标题,2," </w:instrText>
      </w:r>
      <w:r>
        <w:fldChar w:fldCharType="separate"/>
      </w:r>
      <w:r>
        <w:fldChar w:fldCharType="begin"/>
      </w:r>
      <w:r>
        <w:instrText xml:space="preserve"> HYPERLINK \l _Toc25525 </w:instrText>
      </w:r>
      <w:r>
        <w:fldChar w:fldCharType="separate"/>
      </w:r>
      <w:r>
        <w:rPr>
          <w:spacing w:val="320"/>
        </w:rPr>
        <w:t>前</w:t>
      </w:r>
      <w:r>
        <w:t>言</w:t>
      </w:r>
      <w:r>
        <w:tab/>
      </w:r>
      <w:r>
        <w:fldChar w:fldCharType="begin"/>
      </w:r>
      <w:r>
        <w:instrText xml:space="preserve"> PAGEREF _Toc25525 \h </w:instrText>
      </w:r>
      <w:r>
        <w:fldChar w:fldCharType="separate"/>
      </w:r>
      <w:r>
        <w:t>II</w:t>
      </w:r>
      <w:r>
        <w:fldChar w:fldCharType="end"/>
      </w:r>
      <w:r>
        <w:fldChar w:fldCharType="end"/>
      </w:r>
    </w:p>
    <w:p w14:paraId="0189E8FF">
      <w:pPr>
        <w:pStyle w:val="19"/>
        <w:tabs>
          <w:tab w:val="right" w:leader="dot" w:pos="9354"/>
        </w:tabs>
      </w:pPr>
      <w:r>
        <w:fldChar w:fldCharType="begin"/>
      </w:r>
      <w:r>
        <w:instrText xml:space="preserve"> HYPERLINK \l _Toc2710 </w:instrText>
      </w:r>
      <w:r>
        <w:fldChar w:fldCharType="separate"/>
      </w:r>
      <w:r>
        <w:rPr>
          <w:spacing w:val="320"/>
        </w:rPr>
        <w:t>引</w:t>
      </w:r>
      <w:r>
        <w:t>言</w:t>
      </w:r>
      <w:r>
        <w:tab/>
      </w:r>
      <w:r>
        <w:fldChar w:fldCharType="begin"/>
      </w:r>
      <w:r>
        <w:instrText xml:space="preserve"> PAGEREF _Toc2710 \h </w:instrText>
      </w:r>
      <w:r>
        <w:fldChar w:fldCharType="separate"/>
      </w:r>
      <w:r>
        <w:t>III</w:t>
      </w:r>
      <w:r>
        <w:fldChar w:fldCharType="end"/>
      </w:r>
      <w:r>
        <w:fldChar w:fldCharType="end"/>
      </w:r>
    </w:p>
    <w:p w14:paraId="66E75872">
      <w:pPr>
        <w:pStyle w:val="19"/>
        <w:tabs>
          <w:tab w:val="right" w:leader="dot" w:pos="9354"/>
        </w:tabs>
      </w:pPr>
      <w:r>
        <w:fldChar w:fldCharType="begin"/>
      </w:r>
      <w:r>
        <w:instrText xml:space="preserve"> HYPERLINK \l _Toc20411 </w:instrText>
      </w:r>
      <w:r>
        <w:fldChar w:fldCharType="separate"/>
      </w:r>
      <w:r>
        <w:rPr>
          <w:rFonts w:hint="eastAsia" w:ascii="黑体" w:eastAsia="黑体"/>
          <w:i w:val="0"/>
        </w:rPr>
        <w:t xml:space="preserve">1 </w:t>
      </w:r>
      <w:r>
        <w:rPr>
          <w:rFonts w:hint="eastAsia"/>
        </w:rPr>
        <w:t>范围</w:t>
      </w:r>
      <w:r>
        <w:tab/>
      </w:r>
      <w:r>
        <w:fldChar w:fldCharType="begin"/>
      </w:r>
      <w:r>
        <w:instrText xml:space="preserve"> PAGEREF _Toc20411 \h </w:instrText>
      </w:r>
      <w:r>
        <w:fldChar w:fldCharType="separate"/>
      </w:r>
      <w:r>
        <w:t>1</w:t>
      </w:r>
      <w:r>
        <w:fldChar w:fldCharType="end"/>
      </w:r>
      <w:r>
        <w:fldChar w:fldCharType="end"/>
      </w:r>
    </w:p>
    <w:p w14:paraId="033DB0BB">
      <w:pPr>
        <w:pStyle w:val="19"/>
        <w:tabs>
          <w:tab w:val="right" w:leader="dot" w:pos="9354"/>
        </w:tabs>
      </w:pPr>
      <w:r>
        <w:fldChar w:fldCharType="begin"/>
      </w:r>
      <w:r>
        <w:instrText xml:space="preserve"> HYPERLINK \l _Toc14050 </w:instrText>
      </w:r>
      <w: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_Toc14050 \h </w:instrText>
      </w:r>
      <w:r>
        <w:fldChar w:fldCharType="separate"/>
      </w:r>
      <w:r>
        <w:t>1</w:t>
      </w:r>
      <w:r>
        <w:fldChar w:fldCharType="end"/>
      </w:r>
      <w:r>
        <w:fldChar w:fldCharType="end"/>
      </w:r>
    </w:p>
    <w:p w14:paraId="26E21F0B">
      <w:pPr>
        <w:pStyle w:val="19"/>
        <w:tabs>
          <w:tab w:val="right" w:leader="dot" w:pos="9354"/>
        </w:tabs>
      </w:pPr>
      <w:r>
        <w:fldChar w:fldCharType="begin"/>
      </w:r>
      <w:r>
        <w:instrText xml:space="preserve"> HYPERLINK \l _Toc29142 </w:instrText>
      </w:r>
      <w: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_Toc29142 \h </w:instrText>
      </w:r>
      <w:r>
        <w:fldChar w:fldCharType="separate"/>
      </w:r>
      <w:r>
        <w:t>1</w:t>
      </w:r>
      <w:r>
        <w:fldChar w:fldCharType="end"/>
      </w:r>
      <w:r>
        <w:fldChar w:fldCharType="end"/>
      </w:r>
    </w:p>
    <w:p w14:paraId="554337E8">
      <w:pPr>
        <w:pStyle w:val="19"/>
        <w:tabs>
          <w:tab w:val="right" w:leader="dot" w:pos="9354"/>
        </w:tabs>
      </w:pPr>
      <w:r>
        <w:fldChar w:fldCharType="begin"/>
      </w:r>
      <w:r>
        <w:instrText xml:space="preserve"> HYPERLINK \l _Toc29485 </w:instrText>
      </w:r>
      <w:r>
        <w:fldChar w:fldCharType="separate"/>
      </w:r>
      <w:r>
        <w:rPr>
          <w:rFonts w:hint="eastAsia" w:ascii="黑体" w:eastAsia="黑体"/>
          <w:i w:val="0"/>
        </w:rPr>
        <w:t xml:space="preserve">4 </w:t>
      </w:r>
      <w:r>
        <w:t>基本要求</w:t>
      </w:r>
      <w:r>
        <w:tab/>
      </w:r>
      <w:r>
        <w:fldChar w:fldCharType="begin"/>
      </w:r>
      <w:r>
        <w:instrText xml:space="preserve"> PAGEREF _Toc29485 \h </w:instrText>
      </w:r>
      <w:r>
        <w:fldChar w:fldCharType="separate"/>
      </w:r>
      <w:r>
        <w:t>2</w:t>
      </w:r>
      <w:r>
        <w:fldChar w:fldCharType="end"/>
      </w:r>
      <w:r>
        <w:fldChar w:fldCharType="end"/>
      </w:r>
    </w:p>
    <w:p w14:paraId="14579EED">
      <w:pPr>
        <w:pStyle w:val="19"/>
        <w:tabs>
          <w:tab w:val="right" w:leader="dot" w:pos="9354"/>
        </w:tabs>
      </w:pPr>
      <w:r>
        <w:fldChar w:fldCharType="begin"/>
      </w:r>
      <w:r>
        <w:instrText xml:space="preserve"> HYPERLINK \l _Toc3652 </w:instrText>
      </w:r>
      <w:r>
        <w:fldChar w:fldCharType="separate"/>
      </w:r>
      <w:r>
        <w:rPr>
          <w:rFonts w:hint="eastAsia" w:ascii="黑体" w:eastAsia="黑体"/>
          <w:i w:val="0"/>
          <w:szCs w:val="21"/>
        </w:rPr>
        <w:t xml:space="preserve">5 </w:t>
      </w:r>
      <w:r>
        <w:t>评价方法与等级划分</w:t>
      </w:r>
      <w:r>
        <w:tab/>
      </w:r>
      <w:r>
        <w:fldChar w:fldCharType="begin"/>
      </w:r>
      <w:r>
        <w:instrText xml:space="preserve"> PAGEREF _Toc3652 \h </w:instrText>
      </w:r>
      <w:r>
        <w:fldChar w:fldCharType="separate"/>
      </w:r>
      <w:r>
        <w:t>2</w:t>
      </w:r>
      <w:r>
        <w:fldChar w:fldCharType="end"/>
      </w:r>
      <w:r>
        <w:fldChar w:fldCharType="end"/>
      </w:r>
    </w:p>
    <w:p w14:paraId="2FB471A2">
      <w:pPr>
        <w:pStyle w:val="19"/>
        <w:tabs>
          <w:tab w:val="right" w:leader="dot" w:pos="9354"/>
        </w:tabs>
      </w:pPr>
      <w:r>
        <w:fldChar w:fldCharType="begin"/>
      </w:r>
      <w:r>
        <w:instrText xml:space="preserve"> HYPERLINK \l _Toc32414 </w:instrText>
      </w:r>
      <w:r>
        <w:fldChar w:fldCharType="separate"/>
      </w:r>
      <w:r>
        <w:rPr>
          <w:rFonts w:hint="eastAsia" w:ascii="黑体" w:eastAsia="黑体"/>
          <w:i w:val="0"/>
          <w:szCs w:val="21"/>
        </w:rPr>
        <w:t xml:space="preserve">6 </w:t>
      </w:r>
      <w:r>
        <w:rPr>
          <w:rFonts w:hint="eastAsia"/>
        </w:rPr>
        <w:t>设施及配套</w:t>
      </w:r>
      <w:r>
        <w:tab/>
      </w:r>
      <w:r>
        <w:fldChar w:fldCharType="begin"/>
      </w:r>
      <w:r>
        <w:instrText xml:space="preserve"> PAGEREF _Toc32414 \h </w:instrText>
      </w:r>
      <w:r>
        <w:fldChar w:fldCharType="separate"/>
      </w:r>
      <w:r>
        <w:t>2</w:t>
      </w:r>
      <w:r>
        <w:fldChar w:fldCharType="end"/>
      </w:r>
      <w:r>
        <w:fldChar w:fldCharType="end"/>
      </w:r>
    </w:p>
    <w:p w14:paraId="0E1A7B5C">
      <w:pPr>
        <w:pStyle w:val="24"/>
        <w:tabs>
          <w:tab w:val="right" w:leader="dot" w:pos="9354"/>
          <w:tab w:val="clear" w:pos="9344"/>
        </w:tabs>
      </w:pPr>
      <w:r>
        <w:fldChar w:fldCharType="begin"/>
      </w:r>
      <w:r>
        <w:instrText xml:space="preserve"> HYPERLINK \l _Toc19426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6.1 </w:t>
      </w:r>
      <w:r>
        <w:t>控制项</w:t>
      </w:r>
      <w:r>
        <w:tab/>
      </w:r>
      <w:r>
        <w:fldChar w:fldCharType="begin"/>
      </w:r>
      <w:r>
        <w:instrText xml:space="preserve"> PAGEREF _Toc19426 \h </w:instrText>
      </w:r>
      <w:r>
        <w:fldChar w:fldCharType="separate"/>
      </w:r>
      <w:r>
        <w:t>2</w:t>
      </w:r>
      <w:r>
        <w:fldChar w:fldCharType="end"/>
      </w:r>
      <w:r>
        <w:fldChar w:fldCharType="end"/>
      </w:r>
    </w:p>
    <w:p w14:paraId="09620AF6">
      <w:pPr>
        <w:pStyle w:val="24"/>
        <w:tabs>
          <w:tab w:val="right" w:leader="dot" w:pos="9354"/>
          <w:tab w:val="clear" w:pos="9344"/>
        </w:tabs>
      </w:pPr>
      <w:r>
        <w:fldChar w:fldCharType="begin"/>
      </w:r>
      <w:r>
        <w:instrText xml:space="preserve"> HYPERLINK \l _Toc8078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6.2 </w:t>
      </w:r>
      <w:r>
        <w:t>评分项</w:t>
      </w:r>
      <w:r>
        <w:tab/>
      </w:r>
      <w:r>
        <w:fldChar w:fldCharType="begin"/>
      </w:r>
      <w:r>
        <w:instrText xml:space="preserve"> PAGEREF _Toc8078 \h </w:instrText>
      </w:r>
      <w:r>
        <w:fldChar w:fldCharType="separate"/>
      </w:r>
      <w:r>
        <w:t>3</w:t>
      </w:r>
      <w:r>
        <w:fldChar w:fldCharType="end"/>
      </w:r>
      <w:r>
        <w:fldChar w:fldCharType="end"/>
      </w:r>
    </w:p>
    <w:p w14:paraId="1B548EDF">
      <w:pPr>
        <w:pStyle w:val="19"/>
        <w:tabs>
          <w:tab w:val="right" w:leader="dot" w:pos="9354"/>
        </w:tabs>
      </w:pPr>
      <w:r>
        <w:fldChar w:fldCharType="begin"/>
      </w:r>
      <w:r>
        <w:instrText xml:space="preserve"> HYPERLINK \l _Toc28371 </w:instrText>
      </w:r>
      <w:r>
        <w:fldChar w:fldCharType="separate"/>
      </w:r>
      <w:r>
        <w:rPr>
          <w:rFonts w:hint="eastAsia" w:ascii="黑体" w:eastAsia="黑体"/>
          <w:i w:val="0"/>
          <w:szCs w:val="21"/>
        </w:rPr>
        <w:t xml:space="preserve">7 </w:t>
      </w:r>
      <w:r>
        <w:rPr>
          <w:rFonts w:hint="eastAsia"/>
        </w:rPr>
        <w:t>管理与实施</w:t>
      </w:r>
      <w:r>
        <w:tab/>
      </w:r>
      <w:r>
        <w:fldChar w:fldCharType="begin"/>
      </w:r>
      <w:r>
        <w:instrText xml:space="preserve"> PAGEREF _Toc28371 \h </w:instrText>
      </w:r>
      <w:r>
        <w:fldChar w:fldCharType="separate"/>
      </w:r>
      <w:r>
        <w:t>5</w:t>
      </w:r>
      <w:r>
        <w:fldChar w:fldCharType="end"/>
      </w:r>
      <w:r>
        <w:fldChar w:fldCharType="end"/>
      </w:r>
    </w:p>
    <w:p w14:paraId="31F1E3A9">
      <w:pPr>
        <w:pStyle w:val="24"/>
        <w:tabs>
          <w:tab w:val="right" w:leader="dot" w:pos="9354"/>
          <w:tab w:val="clear" w:pos="9344"/>
        </w:tabs>
      </w:pPr>
      <w:r>
        <w:fldChar w:fldCharType="begin"/>
      </w:r>
      <w:r>
        <w:instrText xml:space="preserve"> HYPERLINK \l _Toc27670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7.1 </w:t>
      </w:r>
      <w:r>
        <w:t>控制项</w:t>
      </w:r>
      <w:r>
        <w:tab/>
      </w:r>
      <w:r>
        <w:fldChar w:fldCharType="begin"/>
      </w:r>
      <w:r>
        <w:instrText xml:space="preserve"> PAGEREF _Toc27670 \h </w:instrText>
      </w:r>
      <w:r>
        <w:fldChar w:fldCharType="separate"/>
      </w:r>
      <w:r>
        <w:t>5</w:t>
      </w:r>
      <w:r>
        <w:fldChar w:fldCharType="end"/>
      </w:r>
      <w:r>
        <w:fldChar w:fldCharType="end"/>
      </w:r>
    </w:p>
    <w:p w14:paraId="1DC52231">
      <w:pPr>
        <w:pStyle w:val="24"/>
        <w:tabs>
          <w:tab w:val="right" w:leader="dot" w:pos="9354"/>
          <w:tab w:val="clear" w:pos="9344"/>
        </w:tabs>
      </w:pPr>
      <w:r>
        <w:fldChar w:fldCharType="begin"/>
      </w:r>
      <w:r>
        <w:instrText xml:space="preserve"> HYPERLINK \l _Toc5444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7.2 </w:t>
      </w:r>
      <w:r>
        <w:t>评分项</w:t>
      </w:r>
      <w:r>
        <w:tab/>
      </w:r>
      <w:r>
        <w:fldChar w:fldCharType="begin"/>
      </w:r>
      <w:r>
        <w:instrText xml:space="preserve"> PAGEREF _Toc5444 \h </w:instrText>
      </w:r>
      <w:r>
        <w:fldChar w:fldCharType="separate"/>
      </w:r>
      <w:r>
        <w:t>5</w:t>
      </w:r>
      <w:r>
        <w:fldChar w:fldCharType="end"/>
      </w:r>
      <w:r>
        <w:fldChar w:fldCharType="end"/>
      </w:r>
    </w:p>
    <w:p w14:paraId="299DF820">
      <w:pPr>
        <w:pStyle w:val="19"/>
        <w:tabs>
          <w:tab w:val="right" w:leader="dot" w:pos="9354"/>
        </w:tabs>
      </w:pPr>
      <w:r>
        <w:fldChar w:fldCharType="begin"/>
      </w:r>
      <w:r>
        <w:instrText xml:space="preserve"> HYPERLINK \l _Toc20548 </w:instrText>
      </w:r>
      <w:r>
        <w:fldChar w:fldCharType="separate"/>
      </w:r>
      <w:r>
        <w:rPr>
          <w:rFonts w:hint="eastAsia" w:ascii="黑体" w:eastAsia="黑体"/>
          <w:i w:val="0"/>
        </w:rPr>
        <w:t xml:space="preserve">8 </w:t>
      </w:r>
      <w:r>
        <w:rPr>
          <w:rFonts w:hint="eastAsia"/>
        </w:rPr>
        <w:t>低碳引导</w:t>
      </w:r>
      <w:r>
        <w:tab/>
      </w:r>
      <w:r>
        <w:fldChar w:fldCharType="begin"/>
      </w:r>
      <w:r>
        <w:instrText xml:space="preserve"> PAGEREF _Toc20548 \h </w:instrText>
      </w:r>
      <w:r>
        <w:fldChar w:fldCharType="separate"/>
      </w:r>
      <w:r>
        <w:t>7</w:t>
      </w:r>
      <w:r>
        <w:fldChar w:fldCharType="end"/>
      </w:r>
      <w:r>
        <w:fldChar w:fldCharType="end"/>
      </w:r>
    </w:p>
    <w:p w14:paraId="256B6444">
      <w:pPr>
        <w:pStyle w:val="24"/>
        <w:tabs>
          <w:tab w:val="right" w:leader="dot" w:pos="9354"/>
          <w:tab w:val="clear" w:pos="9344"/>
        </w:tabs>
      </w:pPr>
      <w:r>
        <w:fldChar w:fldCharType="begin"/>
      </w:r>
      <w:r>
        <w:instrText xml:space="preserve"> HYPERLINK \l _Toc28505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8.1 </w:t>
      </w:r>
      <w:r>
        <w:t>控制项</w:t>
      </w:r>
      <w:r>
        <w:tab/>
      </w:r>
      <w:r>
        <w:fldChar w:fldCharType="begin"/>
      </w:r>
      <w:r>
        <w:instrText xml:space="preserve"> PAGEREF _Toc28505 \h </w:instrText>
      </w:r>
      <w:r>
        <w:fldChar w:fldCharType="separate"/>
      </w:r>
      <w:r>
        <w:t>7</w:t>
      </w:r>
      <w:r>
        <w:fldChar w:fldCharType="end"/>
      </w:r>
      <w:r>
        <w:fldChar w:fldCharType="end"/>
      </w:r>
    </w:p>
    <w:p w14:paraId="09263E2F">
      <w:pPr>
        <w:pStyle w:val="24"/>
        <w:tabs>
          <w:tab w:val="right" w:leader="dot" w:pos="9354"/>
          <w:tab w:val="clear" w:pos="9344"/>
        </w:tabs>
      </w:pPr>
      <w:r>
        <w:fldChar w:fldCharType="begin"/>
      </w:r>
      <w:r>
        <w:instrText xml:space="preserve"> HYPERLINK \l _Toc1739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8.2 </w:t>
      </w:r>
      <w:r>
        <w:t>评分项</w:t>
      </w:r>
      <w:r>
        <w:tab/>
      </w:r>
      <w:r>
        <w:fldChar w:fldCharType="begin"/>
      </w:r>
      <w:r>
        <w:instrText xml:space="preserve"> PAGEREF _Toc1739 \h </w:instrText>
      </w:r>
      <w:r>
        <w:fldChar w:fldCharType="separate"/>
      </w:r>
      <w:r>
        <w:t>7</w:t>
      </w:r>
      <w:r>
        <w:fldChar w:fldCharType="end"/>
      </w:r>
      <w:r>
        <w:fldChar w:fldCharType="end"/>
      </w:r>
    </w:p>
    <w:p w14:paraId="65997AF8">
      <w:pPr>
        <w:pStyle w:val="19"/>
        <w:tabs>
          <w:tab w:val="right" w:leader="dot" w:pos="9354"/>
        </w:tabs>
      </w:pPr>
      <w:r>
        <w:fldChar w:fldCharType="begin"/>
      </w:r>
      <w:r>
        <w:instrText xml:space="preserve"> HYPERLINK \l _Toc29582 </w:instrText>
      </w:r>
      <w:r>
        <w:fldChar w:fldCharType="separate"/>
      </w:r>
      <w:r>
        <w:rPr>
          <w:rFonts w:hint="eastAsia" w:ascii="黑体" w:eastAsia="黑体"/>
          <w:i w:val="0"/>
          <w:szCs w:val="21"/>
        </w:rPr>
        <w:t xml:space="preserve">9 </w:t>
      </w:r>
      <w:r>
        <w:t>特性评价</w:t>
      </w:r>
      <w:r>
        <w:tab/>
      </w:r>
      <w:r>
        <w:fldChar w:fldCharType="begin"/>
      </w:r>
      <w:r>
        <w:instrText xml:space="preserve"> PAGEREF _Toc29582 \h </w:instrText>
      </w:r>
      <w:r>
        <w:fldChar w:fldCharType="separate"/>
      </w:r>
      <w:r>
        <w:t>8</w:t>
      </w:r>
      <w:r>
        <w:fldChar w:fldCharType="end"/>
      </w:r>
      <w:r>
        <w:fldChar w:fldCharType="end"/>
      </w:r>
    </w:p>
    <w:p w14:paraId="5188F978">
      <w:pPr>
        <w:pStyle w:val="24"/>
        <w:tabs>
          <w:tab w:val="right" w:leader="dot" w:pos="9354"/>
          <w:tab w:val="clear" w:pos="9344"/>
        </w:tabs>
      </w:pPr>
      <w:r>
        <w:fldChar w:fldCharType="begin"/>
      </w:r>
      <w:r>
        <w:instrText xml:space="preserve"> HYPERLINK \l _Toc8300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9.1 </w:t>
      </w:r>
      <w:r>
        <w:t>机关</w:t>
      </w:r>
      <w:r>
        <w:rPr>
          <w:rFonts w:hint="eastAsia"/>
        </w:rPr>
        <w:t>办公</w:t>
      </w:r>
      <w:r>
        <w:tab/>
      </w:r>
      <w:r>
        <w:fldChar w:fldCharType="begin"/>
      </w:r>
      <w:r>
        <w:instrText xml:space="preserve"> PAGEREF _Toc8300 \h </w:instrText>
      </w:r>
      <w:r>
        <w:fldChar w:fldCharType="separate"/>
      </w:r>
      <w:r>
        <w:t>8</w:t>
      </w:r>
      <w:r>
        <w:fldChar w:fldCharType="end"/>
      </w:r>
      <w:r>
        <w:fldChar w:fldCharType="end"/>
      </w:r>
    </w:p>
    <w:p w14:paraId="190A41E8">
      <w:pPr>
        <w:pStyle w:val="24"/>
        <w:tabs>
          <w:tab w:val="right" w:leader="dot" w:pos="9354"/>
          <w:tab w:val="clear" w:pos="9344"/>
        </w:tabs>
      </w:pPr>
      <w:r>
        <w:fldChar w:fldCharType="begin"/>
      </w:r>
      <w:r>
        <w:instrText xml:space="preserve"> HYPERLINK \l _Toc23309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9.2 </w:t>
      </w:r>
      <w:r>
        <w:t>医院</w:t>
      </w:r>
      <w:r>
        <w:tab/>
      </w:r>
      <w:r>
        <w:fldChar w:fldCharType="begin"/>
      </w:r>
      <w:r>
        <w:instrText xml:space="preserve"> PAGEREF _Toc23309 \h </w:instrText>
      </w:r>
      <w:r>
        <w:fldChar w:fldCharType="separate"/>
      </w:r>
      <w:r>
        <w:t>8</w:t>
      </w:r>
      <w:r>
        <w:fldChar w:fldCharType="end"/>
      </w:r>
      <w:r>
        <w:fldChar w:fldCharType="end"/>
      </w:r>
    </w:p>
    <w:p w14:paraId="207FF0A5">
      <w:pPr>
        <w:pStyle w:val="24"/>
        <w:tabs>
          <w:tab w:val="right" w:leader="dot" w:pos="9354"/>
          <w:tab w:val="clear" w:pos="9344"/>
        </w:tabs>
      </w:pPr>
      <w:r>
        <w:fldChar w:fldCharType="begin"/>
      </w:r>
      <w:r>
        <w:instrText xml:space="preserve"> HYPERLINK \l _Toc22378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9.3 </w:t>
      </w:r>
      <w:r>
        <w:t>学校</w:t>
      </w:r>
      <w:r>
        <w:tab/>
      </w:r>
      <w:r>
        <w:fldChar w:fldCharType="begin"/>
      </w:r>
      <w:r>
        <w:instrText xml:space="preserve"> PAGEREF _Toc22378 \h </w:instrText>
      </w:r>
      <w:r>
        <w:fldChar w:fldCharType="separate"/>
      </w:r>
      <w:r>
        <w:t>9</w:t>
      </w:r>
      <w:r>
        <w:fldChar w:fldCharType="end"/>
      </w:r>
      <w:r>
        <w:fldChar w:fldCharType="end"/>
      </w:r>
    </w:p>
    <w:p w14:paraId="4745A3CB">
      <w:pPr>
        <w:pStyle w:val="24"/>
        <w:tabs>
          <w:tab w:val="right" w:leader="dot" w:pos="9354"/>
          <w:tab w:val="clear" w:pos="9344"/>
        </w:tabs>
      </w:pPr>
      <w:r>
        <w:fldChar w:fldCharType="begin"/>
      </w:r>
      <w:r>
        <w:instrText xml:space="preserve"> HYPERLINK \l _Toc19913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9.4 </w:t>
      </w:r>
      <w:r>
        <w:t>场馆</w:t>
      </w:r>
      <w:r>
        <w:tab/>
      </w:r>
      <w:r>
        <w:fldChar w:fldCharType="begin"/>
      </w:r>
      <w:r>
        <w:instrText xml:space="preserve"> PAGEREF _Toc19913 \h </w:instrText>
      </w:r>
      <w:r>
        <w:fldChar w:fldCharType="separate"/>
      </w:r>
      <w:r>
        <w:t>9</w:t>
      </w:r>
      <w:r>
        <w:fldChar w:fldCharType="end"/>
      </w:r>
      <w:r>
        <w:fldChar w:fldCharType="end"/>
      </w:r>
    </w:p>
    <w:p w14:paraId="53168B14">
      <w:pPr>
        <w:pStyle w:val="19"/>
        <w:tabs>
          <w:tab w:val="right" w:leader="dot" w:pos="9354"/>
        </w:tabs>
      </w:pPr>
      <w:r>
        <w:fldChar w:fldCharType="begin"/>
      </w:r>
      <w:r>
        <w:instrText xml:space="preserve"> HYPERLINK \l _Toc6077 </w:instrText>
      </w:r>
      <w:r>
        <w:fldChar w:fldCharType="separate"/>
      </w:r>
      <w:r>
        <w:rPr>
          <w:rFonts w:hint="eastAsia" w:ascii="黑体" w:eastAsia="黑体"/>
          <w:i w:val="0"/>
          <w:szCs w:val="21"/>
        </w:rPr>
        <w:t xml:space="preserve">10 </w:t>
      </w:r>
      <w:r>
        <w:rPr>
          <w:rFonts w:hint="eastAsia"/>
        </w:rPr>
        <w:t>提高与创新</w:t>
      </w:r>
      <w:r>
        <w:tab/>
      </w:r>
      <w:r>
        <w:fldChar w:fldCharType="begin"/>
      </w:r>
      <w:r>
        <w:instrText xml:space="preserve"> PAGEREF _Toc6077 \h </w:instrText>
      </w:r>
      <w:r>
        <w:fldChar w:fldCharType="separate"/>
      </w:r>
      <w:r>
        <w:t>9</w:t>
      </w:r>
      <w:r>
        <w:fldChar w:fldCharType="end"/>
      </w:r>
      <w:r>
        <w:fldChar w:fldCharType="end"/>
      </w:r>
    </w:p>
    <w:p w14:paraId="098FBF8D">
      <w:pPr>
        <w:pStyle w:val="24"/>
        <w:tabs>
          <w:tab w:val="right" w:leader="dot" w:pos="9354"/>
          <w:tab w:val="clear" w:pos="9344"/>
        </w:tabs>
      </w:pPr>
      <w:r>
        <w:fldChar w:fldCharType="begin"/>
      </w:r>
      <w:r>
        <w:instrText xml:space="preserve"> HYPERLINK \l _Toc9310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10.1 </w:t>
      </w:r>
      <w:r>
        <w:rPr>
          <w:rFonts w:hint="eastAsia"/>
        </w:rPr>
        <w:t>非传统水源利用</w:t>
      </w:r>
      <w:r>
        <w:tab/>
      </w:r>
      <w:r>
        <w:fldChar w:fldCharType="begin"/>
      </w:r>
      <w:r>
        <w:instrText xml:space="preserve"> PAGEREF _Toc9310 \h </w:instrText>
      </w:r>
      <w:r>
        <w:fldChar w:fldCharType="separate"/>
      </w:r>
      <w:r>
        <w:t>9</w:t>
      </w:r>
      <w:r>
        <w:fldChar w:fldCharType="end"/>
      </w:r>
      <w:r>
        <w:fldChar w:fldCharType="end"/>
      </w:r>
    </w:p>
    <w:p w14:paraId="6344833A">
      <w:pPr>
        <w:pStyle w:val="24"/>
        <w:tabs>
          <w:tab w:val="right" w:leader="dot" w:pos="9354"/>
          <w:tab w:val="clear" w:pos="9344"/>
        </w:tabs>
      </w:pPr>
      <w:r>
        <w:fldChar w:fldCharType="begin"/>
      </w:r>
      <w:r>
        <w:instrText xml:space="preserve"> HYPERLINK \l _Toc10736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10.2 </w:t>
      </w:r>
      <w:r>
        <w:rPr>
          <w:rFonts w:hint="eastAsia"/>
        </w:rPr>
        <w:t>绿色物业</w:t>
      </w:r>
      <w:r>
        <w:tab/>
      </w:r>
      <w:r>
        <w:fldChar w:fldCharType="begin"/>
      </w:r>
      <w:r>
        <w:instrText xml:space="preserve"> PAGEREF _Toc10736 \h </w:instrText>
      </w:r>
      <w:r>
        <w:fldChar w:fldCharType="separate"/>
      </w:r>
      <w:r>
        <w:t>9</w:t>
      </w:r>
      <w:r>
        <w:fldChar w:fldCharType="end"/>
      </w:r>
      <w:r>
        <w:fldChar w:fldCharType="end"/>
      </w:r>
    </w:p>
    <w:p w14:paraId="4B4846A3">
      <w:pPr>
        <w:pStyle w:val="24"/>
        <w:tabs>
          <w:tab w:val="right" w:leader="dot" w:pos="9354"/>
          <w:tab w:val="clear" w:pos="9344"/>
        </w:tabs>
      </w:pPr>
      <w:r>
        <w:fldChar w:fldCharType="begin"/>
      </w:r>
      <w:r>
        <w:instrText xml:space="preserve"> HYPERLINK \l _Toc5640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10.3 </w:t>
      </w:r>
      <w:r>
        <w:rPr>
          <w:rFonts w:hint="eastAsia"/>
        </w:rPr>
        <w:t>节能管理</w:t>
      </w:r>
      <w:r>
        <w:tab/>
      </w:r>
      <w:r>
        <w:fldChar w:fldCharType="begin"/>
      </w:r>
      <w:r>
        <w:instrText xml:space="preserve"> PAGEREF _Toc5640 \h </w:instrText>
      </w:r>
      <w:r>
        <w:fldChar w:fldCharType="separate"/>
      </w:r>
      <w:r>
        <w:t>9</w:t>
      </w:r>
      <w:r>
        <w:fldChar w:fldCharType="end"/>
      </w:r>
      <w:r>
        <w:fldChar w:fldCharType="end"/>
      </w:r>
    </w:p>
    <w:p w14:paraId="0EFE2C00">
      <w:pPr>
        <w:pStyle w:val="24"/>
        <w:tabs>
          <w:tab w:val="right" w:leader="dot" w:pos="9354"/>
          <w:tab w:val="clear" w:pos="9344"/>
        </w:tabs>
      </w:pPr>
      <w:r>
        <w:fldChar w:fldCharType="begin"/>
      </w:r>
      <w:r>
        <w:instrText xml:space="preserve"> HYPERLINK \l _Toc7621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10.4 </w:t>
      </w:r>
      <w:r>
        <w:rPr>
          <w:rFonts w:hint="eastAsia"/>
        </w:rPr>
        <w:t>其他创新性成果</w:t>
      </w:r>
      <w:r>
        <w:tab/>
      </w:r>
      <w:r>
        <w:fldChar w:fldCharType="begin"/>
      </w:r>
      <w:r>
        <w:instrText xml:space="preserve"> PAGEREF _Toc7621 \h </w:instrText>
      </w:r>
      <w:r>
        <w:fldChar w:fldCharType="separate"/>
      </w:r>
      <w:r>
        <w:t>9</w:t>
      </w:r>
      <w:r>
        <w:fldChar w:fldCharType="end"/>
      </w:r>
      <w:r>
        <w:fldChar w:fldCharType="end"/>
      </w:r>
    </w:p>
    <w:p w14:paraId="3EA2FB8D">
      <w:pPr>
        <w:pStyle w:val="19"/>
        <w:tabs>
          <w:tab w:val="right" w:leader="dot" w:pos="9354"/>
        </w:tabs>
      </w:pPr>
      <w:r>
        <w:fldChar w:fldCharType="begin"/>
      </w:r>
      <w:r>
        <w:instrText xml:space="preserve"> HYPERLINK \l _Toc6956 </w:instrText>
      </w:r>
      <w:r>
        <w:fldChar w:fldCharType="separate"/>
      </w:r>
      <w:r>
        <w:rPr>
          <w:rFonts w:hint="eastAsia"/>
          <w:spacing w:val="100"/>
        </w:rPr>
        <w:t xml:space="preserve">附录A </w:t>
      </w:r>
      <w:r>
        <w:t xml:space="preserve"> </w:t>
      </w:r>
      <w:r>
        <w:rPr>
          <w:rFonts w:hint="eastAsia"/>
        </w:rPr>
        <w:t>（资料性）</w:t>
      </w:r>
      <w:r>
        <w:t xml:space="preserve"> </w:t>
      </w:r>
      <w:r>
        <w:rPr>
          <w:rFonts w:hint="eastAsia"/>
        </w:rPr>
        <w:t>绿容率的计算</w:t>
      </w:r>
      <w:r>
        <w:tab/>
      </w:r>
      <w:r>
        <w:fldChar w:fldCharType="begin"/>
      </w:r>
      <w:r>
        <w:instrText xml:space="preserve"> PAGEREF _Toc6956 \h </w:instrText>
      </w:r>
      <w:r>
        <w:fldChar w:fldCharType="separate"/>
      </w:r>
      <w:r>
        <w:t>11</w:t>
      </w:r>
      <w:r>
        <w:fldChar w:fldCharType="end"/>
      </w:r>
      <w:r>
        <w:fldChar w:fldCharType="end"/>
      </w:r>
    </w:p>
    <w:p w14:paraId="3E4A2404">
      <w:pPr>
        <w:pStyle w:val="19"/>
        <w:tabs>
          <w:tab w:val="right" w:leader="dot" w:pos="9354"/>
        </w:tabs>
      </w:pPr>
      <w:r>
        <w:fldChar w:fldCharType="begin"/>
      </w:r>
      <w:r>
        <w:instrText xml:space="preserve"> HYPERLINK \l _Toc15121 </w:instrText>
      </w:r>
      <w:r>
        <w:fldChar w:fldCharType="separate"/>
      </w:r>
      <w:r>
        <w:rPr>
          <w:rFonts w:hint="eastAsia"/>
          <w:spacing w:val="100"/>
        </w:rPr>
        <w:t xml:space="preserve">附录B </w:t>
      </w:r>
      <w:r>
        <w:t xml:space="preserve"> </w:t>
      </w:r>
      <w:r>
        <w:rPr>
          <w:rFonts w:hint="eastAsia"/>
        </w:rPr>
        <w:t>（资料性）</w:t>
      </w:r>
      <w:r>
        <w:t xml:space="preserve"> </w:t>
      </w:r>
      <w:r>
        <w:rPr>
          <w:rFonts w:hint="eastAsia"/>
        </w:rPr>
        <w:t>建筑可再生能源电力替代率的计算</w:t>
      </w:r>
      <w:r>
        <w:tab/>
      </w:r>
      <w:r>
        <w:fldChar w:fldCharType="begin"/>
      </w:r>
      <w:r>
        <w:instrText xml:space="preserve"> PAGEREF _Toc15121 \h </w:instrText>
      </w:r>
      <w:r>
        <w:fldChar w:fldCharType="separate"/>
      </w:r>
      <w:r>
        <w:t>12</w:t>
      </w:r>
      <w:r>
        <w:fldChar w:fldCharType="end"/>
      </w:r>
      <w:r>
        <w:fldChar w:fldCharType="end"/>
      </w:r>
    </w:p>
    <w:p w14:paraId="6F491895">
      <w:pPr>
        <w:pStyle w:val="92"/>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19C8B5B0">
      <w:pPr>
        <w:pStyle w:val="90"/>
        <w:spacing w:before="900" w:after="468"/>
      </w:pPr>
      <w:bookmarkStart w:id="22" w:name="_Toc25525"/>
      <w:bookmarkStart w:id="23" w:name="BookMark2"/>
      <w:r>
        <w:rPr>
          <w:spacing w:val="320"/>
        </w:rPr>
        <w:t>前</w:t>
      </w:r>
      <w:r>
        <w:t>言</w:t>
      </w:r>
      <w:bookmarkEnd w:id="22"/>
    </w:p>
    <w:p w14:paraId="4ABFD716">
      <w:pPr>
        <w:pStyle w:val="57"/>
        <w:ind w:firstLine="420"/>
      </w:pPr>
      <w:r>
        <w:rPr>
          <w:rFonts w:hint="eastAsia"/>
        </w:rPr>
        <w:t>本</w:t>
      </w:r>
      <w:r>
        <w:rPr>
          <w:rFonts w:hint="eastAsia"/>
          <w:lang w:eastAsia="zh-CN"/>
        </w:rPr>
        <w:t>规范</w:t>
      </w:r>
      <w:r>
        <w:rPr>
          <w:rFonts w:hint="eastAsia"/>
        </w:rPr>
        <w:t>按照GB/T 1.1—2020《标准化工作导则  第1部分：标准化文件的结构和起草规则》的规定起草。</w:t>
      </w:r>
    </w:p>
    <w:p w14:paraId="5175DFAE">
      <w:pPr>
        <w:pStyle w:val="25"/>
        <w:widowControl/>
        <w:autoSpaceDE w:val="0"/>
        <w:autoSpaceDN w:val="0"/>
        <w:adjustRightInd/>
        <w:spacing w:line="240" w:lineRule="auto"/>
        <w:ind w:firstLine="420" w:firstLineChars="200"/>
      </w:pPr>
      <w:r>
        <w:rPr>
          <w:rFonts w:hint="eastAsia" w:ascii="宋体" w:hAnsi="Times New Roman" w:eastAsia="宋体" w:cs="Times New Roman"/>
          <w:sz w:val="21"/>
          <w:lang w:val="en-US" w:eastAsia="zh-CN" w:bidi="ar-SA"/>
        </w:rPr>
        <w:t>本规范是D</w:t>
      </w:r>
      <w:r>
        <w:rPr>
          <w:rFonts w:hint="eastAsia" w:ascii="宋体" w:hAnsi="Times New Roman"/>
          <w:kern w:val="0"/>
          <w:sz w:val="21"/>
          <w:szCs w:val="20"/>
          <w:lang w:bidi="ar"/>
        </w:rPr>
        <w:t>B13/T XXXX《公共机构绿色节能》的第7部分。DB13/T XXXX《公共机构绿色节能》已经发布了以下部分：</w:t>
      </w:r>
    </w:p>
    <w:p w14:paraId="5CEA39D3">
      <w:pPr>
        <w:pStyle w:val="57"/>
        <w:ind w:firstLine="420"/>
      </w:pPr>
      <w:r>
        <w:rPr>
          <w:rFonts w:hint="eastAsia"/>
        </w:rPr>
        <w:t>——第1部分：能源审计；</w:t>
      </w:r>
    </w:p>
    <w:p w14:paraId="443D5AF9">
      <w:pPr>
        <w:pStyle w:val="57"/>
        <w:ind w:firstLine="420"/>
      </w:pPr>
      <w:r>
        <w:rPr>
          <w:rFonts w:hint="eastAsia"/>
        </w:rPr>
        <w:t>——第2部分：绿色运营；</w:t>
      </w:r>
    </w:p>
    <w:p w14:paraId="2AE785FB">
      <w:pPr>
        <w:pStyle w:val="57"/>
        <w:ind w:firstLine="420"/>
      </w:pPr>
      <w:r>
        <w:rPr>
          <w:rFonts w:hint="eastAsia"/>
        </w:rPr>
        <w:t>——第3部分：能源资源消费统计；</w:t>
      </w:r>
    </w:p>
    <w:p w14:paraId="0D395DF0">
      <w:pPr>
        <w:pStyle w:val="57"/>
        <w:ind w:firstLine="420"/>
      </w:pPr>
      <w:r>
        <w:rPr>
          <w:rFonts w:hint="eastAsia"/>
        </w:rPr>
        <w:t>——第4部分：</w:t>
      </w:r>
      <w:r>
        <w:t>节水管理与评价</w:t>
      </w:r>
      <w:r>
        <w:rPr>
          <w:rFonts w:hint="eastAsia"/>
        </w:rPr>
        <w:t>；</w:t>
      </w:r>
    </w:p>
    <w:p w14:paraId="6271E19B">
      <w:pPr>
        <w:pStyle w:val="57"/>
        <w:ind w:firstLine="420"/>
      </w:pPr>
      <w:r>
        <w:rPr>
          <w:rFonts w:hint="eastAsia"/>
        </w:rPr>
        <w:t>——第5部分：生活垃圾分类；</w:t>
      </w:r>
    </w:p>
    <w:p w14:paraId="0673449F">
      <w:pPr>
        <w:pStyle w:val="57"/>
        <w:ind w:firstLine="420"/>
        <w:rPr>
          <w:color w:val="auto"/>
        </w:rPr>
      </w:pPr>
      <w:r>
        <w:rPr>
          <w:rFonts w:hint="eastAsia"/>
        </w:rPr>
        <w:t>——第6部分</w:t>
      </w:r>
      <w:r>
        <w:rPr>
          <w:rFonts w:hint="eastAsia"/>
          <w:color w:val="auto"/>
        </w:rPr>
        <w:t>：零碳管理；</w:t>
      </w:r>
    </w:p>
    <w:p w14:paraId="6188BA23">
      <w:pPr>
        <w:pStyle w:val="57"/>
        <w:ind w:firstLine="420"/>
        <w:rPr>
          <w:color w:val="auto"/>
        </w:rPr>
      </w:pPr>
      <w:r>
        <w:rPr>
          <w:rFonts w:hint="eastAsia"/>
          <w:color w:val="auto"/>
        </w:rPr>
        <w:t>——第7部分：绿色评价。</w:t>
      </w:r>
    </w:p>
    <w:p w14:paraId="58174520">
      <w:pPr>
        <w:pStyle w:val="57"/>
        <w:ind w:firstLine="420"/>
      </w:pPr>
      <w:r>
        <w:rPr>
          <w:rFonts w:hint="eastAsia"/>
        </w:rPr>
        <w:t>请注意本</w:t>
      </w:r>
      <w:r>
        <w:rPr>
          <w:rFonts w:hint="eastAsia"/>
          <w:lang w:eastAsia="zh-CN"/>
        </w:rPr>
        <w:t>规范</w:t>
      </w:r>
      <w:r>
        <w:rPr>
          <w:rFonts w:hint="eastAsia"/>
        </w:rPr>
        <w:t>的某些内容可能涉及专利。本</w:t>
      </w:r>
      <w:r>
        <w:rPr>
          <w:rFonts w:hint="eastAsia"/>
          <w:lang w:eastAsia="zh-CN"/>
        </w:rPr>
        <w:t>规范</w:t>
      </w:r>
      <w:r>
        <w:rPr>
          <w:rFonts w:hint="eastAsia"/>
        </w:rPr>
        <w:t>的发布机构不承担识别专利的责任。</w:t>
      </w:r>
    </w:p>
    <w:p w14:paraId="45D0B80A">
      <w:pPr>
        <w:pStyle w:val="57"/>
        <w:ind w:firstLine="420"/>
      </w:pPr>
      <w:r>
        <w:rPr>
          <w:rFonts w:hint="eastAsia"/>
        </w:rPr>
        <w:t>本</w:t>
      </w:r>
      <w:r>
        <w:rPr>
          <w:rFonts w:hint="eastAsia"/>
          <w:lang w:eastAsia="zh-CN"/>
        </w:rPr>
        <w:t>规范</w:t>
      </w:r>
      <w:r>
        <w:rPr>
          <w:rFonts w:hint="eastAsia"/>
        </w:rPr>
        <w:t>由</w:t>
      </w:r>
      <w:r>
        <w:t>河北省机关事务管理局</w:t>
      </w:r>
      <w:r>
        <w:rPr>
          <w:rFonts w:hint="eastAsia"/>
        </w:rPr>
        <w:t>提出并归口。</w:t>
      </w:r>
    </w:p>
    <w:p w14:paraId="49E15749">
      <w:pPr>
        <w:pStyle w:val="57"/>
        <w:ind w:firstLine="420"/>
        <w:rPr>
          <w:highlight w:val="red"/>
        </w:rPr>
      </w:pPr>
      <w:r>
        <w:rPr>
          <w:rFonts w:hint="eastAsia"/>
        </w:rPr>
        <w:t>本</w:t>
      </w:r>
      <w:r>
        <w:rPr>
          <w:rFonts w:hint="eastAsia"/>
          <w:lang w:eastAsia="zh-CN"/>
        </w:rPr>
        <w:t>规范</w:t>
      </w:r>
      <w:r>
        <w:rPr>
          <w:rFonts w:hint="eastAsia"/>
        </w:rPr>
        <w:t>起草单位：河北省机关事务管理局、河北省标准化研究院、河北省建筑科学研究院有限公司。</w:t>
      </w:r>
    </w:p>
    <w:p w14:paraId="1394E803">
      <w:pPr>
        <w:pStyle w:val="57"/>
        <w:ind w:firstLine="420"/>
        <w:rPr>
          <w:kern w:val="2"/>
          <w:szCs w:val="21"/>
          <w:highlight w:val="red"/>
        </w:rPr>
      </w:pPr>
      <w:r>
        <w:rPr>
          <w:rFonts w:hint="eastAsia"/>
        </w:rPr>
        <w:t>本</w:t>
      </w:r>
      <w:r>
        <w:rPr>
          <w:rFonts w:hint="eastAsia"/>
          <w:lang w:eastAsia="zh-CN"/>
        </w:rPr>
        <w:t>规范</w:t>
      </w:r>
      <w:r>
        <w:rPr>
          <w:rFonts w:hint="eastAsia"/>
        </w:rPr>
        <w:t>主要起草人：申虎山、李彬、</w:t>
      </w:r>
      <w:r>
        <w:rPr>
          <w:rFonts w:hint="eastAsia"/>
          <w:lang w:val="en-US" w:eastAsia="zh-CN"/>
        </w:rPr>
        <w:t>张园园</w:t>
      </w:r>
      <w:r>
        <w:rPr>
          <w:rFonts w:hint="eastAsia"/>
        </w:rPr>
        <w:t>、石佳磊、吕冬杰、康雪纯、牛思佳、陈泽阳。</w:t>
      </w:r>
    </w:p>
    <w:p w14:paraId="7DF3B675">
      <w:pPr>
        <w:pStyle w:val="57"/>
        <w:ind w:firstLine="420"/>
      </w:pPr>
    </w:p>
    <w:p w14:paraId="58EAA309">
      <w:pPr>
        <w:pStyle w:val="57"/>
        <w:ind w:firstLine="420"/>
      </w:pPr>
    </w:p>
    <w:p w14:paraId="04FF7062">
      <w:pPr>
        <w:pStyle w:val="57"/>
        <w:ind w:firstLine="420"/>
        <w:sectPr>
          <w:pgSz w:w="11906" w:h="16838"/>
          <w:pgMar w:top="1928" w:right="1134" w:bottom="1134" w:left="1134" w:header="1418" w:footer="1134" w:gutter="284"/>
          <w:pgNumType w:fmt="upperRoman"/>
          <w:cols w:space="425" w:num="1"/>
          <w:formProt w:val="0"/>
          <w:docGrid w:type="lines" w:linePitch="312" w:charSpace="0"/>
        </w:sectPr>
      </w:pPr>
    </w:p>
    <w:bookmarkEnd w:id="23"/>
    <w:p w14:paraId="48B5EA03">
      <w:pPr>
        <w:pStyle w:val="90"/>
        <w:spacing w:after="468"/>
      </w:pPr>
      <w:bookmarkStart w:id="24" w:name="_Toc2710"/>
      <w:bookmarkStart w:id="25" w:name="BookMark3"/>
      <w:r>
        <w:rPr>
          <w:spacing w:val="320"/>
        </w:rPr>
        <w:t>引</w:t>
      </w:r>
      <w:r>
        <w:t>言</w:t>
      </w:r>
      <w:bookmarkEnd w:id="24"/>
    </w:p>
    <w:p w14:paraId="37F3E307">
      <w:pPr>
        <w:pStyle w:val="57"/>
        <w:ind w:firstLine="432"/>
        <w:rPr>
          <w:spacing w:val="3"/>
          <w:u w:val="none"/>
        </w:rPr>
      </w:pPr>
      <w:r>
        <w:rPr>
          <w:rFonts w:hint="eastAsia"/>
          <w:spacing w:val="3"/>
          <w:u w:val="none"/>
        </w:rPr>
        <w:t>公共机构节约能源资源工作是实现全社会绿色低碳转型发展的重要组成部分。完善的节约能源资源标准有助于提升公共机构节约能源资源工作的法治效力和治理能力现代化水平，确保节约能源资源措施的有效执行。同时，充分发挥公共机构在社会中的示范引领作用，推动形成绿色低碳的生产和生活方式。</w:t>
      </w:r>
    </w:p>
    <w:p w14:paraId="22C58375">
      <w:pPr>
        <w:pStyle w:val="57"/>
        <w:ind w:firstLine="432"/>
        <w:rPr>
          <w:spacing w:val="3"/>
        </w:rPr>
      </w:pPr>
      <w:r>
        <w:rPr>
          <w:rFonts w:hint="eastAsia"/>
          <w:spacing w:val="3"/>
        </w:rPr>
        <w:t>本</w:t>
      </w:r>
      <w:r>
        <w:rPr>
          <w:rFonts w:hint="eastAsia"/>
          <w:lang w:eastAsia="zh-CN"/>
        </w:rPr>
        <w:t>规范</w:t>
      </w:r>
      <w:r>
        <w:rPr>
          <w:rFonts w:hint="eastAsia"/>
          <w:spacing w:val="3"/>
        </w:rPr>
        <w:t>旨在提升公共机构的运行效率，为公共机构开展能源审计、绿色运营、能源资源消费统计、节水管理与评价、生活垃圾分类、零碳管理与评价、绿色评价等方面绿色节能工作提供技术支持和标准化支撑。</w:t>
      </w:r>
    </w:p>
    <w:p w14:paraId="6FF0F027">
      <w:pPr>
        <w:pStyle w:val="57"/>
        <w:ind w:firstLine="432"/>
        <w:rPr>
          <w:spacing w:val="3"/>
        </w:rPr>
      </w:pPr>
      <w:r>
        <w:rPr>
          <w:rFonts w:hint="eastAsia"/>
          <w:spacing w:val="3"/>
        </w:rPr>
        <w:t>DB13/T XXXX《</w:t>
      </w:r>
      <w:r>
        <w:rPr>
          <w:rFonts w:hint="eastAsia" w:ascii="宋体" w:hAnsi="Times New Roman"/>
          <w:kern w:val="0"/>
          <w:sz w:val="21"/>
          <w:szCs w:val="20"/>
          <w:lang w:bidi="ar"/>
        </w:rPr>
        <w:t>公共机构绿色节能</w:t>
      </w:r>
      <w:r>
        <w:rPr>
          <w:rFonts w:hint="eastAsia"/>
          <w:spacing w:val="3"/>
        </w:rPr>
        <w:t>》针对公共机构节约能源资源的不同方面，分为7个部分。</w:t>
      </w:r>
    </w:p>
    <w:p w14:paraId="4967FE81">
      <w:pPr>
        <w:pStyle w:val="133"/>
      </w:pPr>
      <w:r>
        <w:rPr>
          <w:rFonts w:hint="eastAsia"/>
        </w:rPr>
        <w:t>第1部分：能源审计。对公共机构能源审计规定内容和程序方面的要求，旨在识别节能潜力和提出节能措施，促进</w:t>
      </w:r>
      <w:bookmarkStart w:id="84" w:name="_GoBack"/>
      <w:bookmarkEnd w:id="84"/>
      <w:r>
        <w:rPr>
          <w:rFonts w:hint="eastAsia"/>
        </w:rPr>
        <w:t>公共机构节能降耗、提高公共机构能源利用效率、优化能源管理水平。</w:t>
      </w:r>
    </w:p>
    <w:p w14:paraId="53FAD7D9">
      <w:pPr>
        <w:pStyle w:val="133"/>
      </w:pPr>
      <w:r>
        <w:rPr>
          <w:rFonts w:hint="eastAsia"/>
        </w:rPr>
        <w:t>第2部分：绿色运营。对公共机构运营的管理要求、运行维护技术要求和特殊要求等内容进行了规定，旨在推动公共机构实现绿色低碳发展、提高能源资源利用效率、促进高质量发展。</w:t>
      </w:r>
    </w:p>
    <w:p w14:paraId="39CD3A90">
      <w:pPr>
        <w:pStyle w:val="133"/>
      </w:pPr>
      <w:r>
        <w:rPr>
          <w:rFonts w:hint="eastAsia"/>
        </w:rPr>
        <w:t>第3部分：能源资源消费统计。规范公共机构能源资源消费统计的数据采集、数据分析等统计流程和方法，旨在为公共机构提供科学的能源资源消费分析工具，提升统计数据的准确性、科学性和可比性。</w:t>
      </w:r>
    </w:p>
    <w:p w14:paraId="05B2B16C">
      <w:pPr>
        <w:pStyle w:val="133"/>
      </w:pPr>
      <w:r>
        <w:rPr>
          <w:rFonts w:hint="eastAsia"/>
        </w:rPr>
        <w:t>第4部分：节水管理与评价。对公共机构的节水管理与评价的管理要求、节水保障措施与绩效评价等内容进行了规定，旨在明确节水目标、标准和要求，推动公共机构采取有效的节水措施，降低用水量，从而减轻对水资源的压力。</w:t>
      </w:r>
    </w:p>
    <w:p w14:paraId="7E19CC3D">
      <w:pPr>
        <w:pStyle w:val="133"/>
      </w:pPr>
      <w:r>
        <w:rPr>
          <w:rFonts w:hint="eastAsia"/>
        </w:rPr>
        <w:t>第5部分：生活垃圾分类。规定了公共机构生活垃圾的基本规定、收集容器、分类投放、分类收集、分类运输和分类处置等内容，旨在推动垃圾分类工作规范化和科学化，提高公共机构垃圾分类意识和行动积极性，促进资源循环利用和减少环境污染，实现生活垃圾减量化、资源化和无害化处理。</w:t>
      </w:r>
    </w:p>
    <w:p w14:paraId="7D9D5FAF">
      <w:pPr>
        <w:pStyle w:val="133"/>
      </w:pPr>
      <w:r>
        <w:rPr>
          <w:rFonts w:hint="eastAsia"/>
        </w:rPr>
        <w:t>第6部分：零碳</w:t>
      </w:r>
      <w:r>
        <w:rPr>
          <w:rFonts w:hint="eastAsia"/>
          <w:lang w:eastAsia="zh-CN"/>
        </w:rPr>
        <w:t>管理</w:t>
      </w:r>
      <w:r>
        <w:rPr>
          <w:rFonts w:hint="eastAsia"/>
          <w:lang w:val="en-US" w:eastAsia="zh-CN"/>
        </w:rPr>
        <w:t>与评价</w:t>
      </w:r>
      <w:r>
        <w:rPr>
          <w:rFonts w:hint="eastAsia"/>
        </w:rPr>
        <w:t>。零碳管理与判定标准。对零碳公共机构管理与判定的要求，旨在明确河北公共机构在追求零碳排放过程中应遵循的总体原则和管理内容，为实现零碳排放提供清晰的指导方针。建立一套判定方法，衡量河北公共机构实施零碳措施的效果和进展，便于监督和激励改进。</w:t>
      </w:r>
    </w:p>
    <w:p w14:paraId="1CBD52DF">
      <w:pPr>
        <w:pStyle w:val="133"/>
      </w:pPr>
      <w:r>
        <w:rPr>
          <w:rFonts w:hint="eastAsia"/>
        </w:rPr>
        <w:t>第7部分：绿色评价。对公共机构绿色评价的基本要求、评价方法、等级划分和相关指标体系等方面进行了规范，旨在引导公共机构节能管理从节约能源的单一目标向节约资源、环境保护、舒适健康的多目标转变，降低公共机构的运行能耗，节约资源和保护环境，改善公共机构工作环境。</w:t>
      </w:r>
    </w:p>
    <w:p w14:paraId="5EB5EF53">
      <w:pPr>
        <w:pStyle w:val="57"/>
        <w:ind w:firstLine="420"/>
      </w:pPr>
    </w:p>
    <w:p w14:paraId="705D77B7">
      <w:pPr>
        <w:pStyle w:val="57"/>
        <w:ind w:firstLine="420"/>
        <w:sectPr>
          <w:pgSz w:w="11906" w:h="16838"/>
          <w:pgMar w:top="1928" w:right="1134" w:bottom="1134" w:left="1134" w:header="1418" w:footer="1134" w:gutter="284"/>
          <w:pgNumType w:fmt="upperRoman"/>
          <w:cols w:space="425" w:num="1"/>
          <w:formProt w:val="0"/>
          <w:docGrid w:type="lines" w:linePitch="312" w:charSpace="0"/>
        </w:sectPr>
      </w:pPr>
    </w:p>
    <w:bookmarkEnd w:id="25"/>
    <w:p w14:paraId="54816C92">
      <w:pPr>
        <w:spacing w:line="20" w:lineRule="exact"/>
        <w:jc w:val="center"/>
        <w:rPr>
          <w:rFonts w:hint="eastAsia" w:ascii="黑体" w:hAnsi="黑体" w:eastAsia="黑体"/>
          <w:sz w:val="32"/>
          <w:szCs w:val="32"/>
        </w:rPr>
      </w:pPr>
      <w:bookmarkStart w:id="26" w:name="BookMark4"/>
    </w:p>
    <w:p w14:paraId="0777DB34">
      <w:pPr>
        <w:spacing w:line="20" w:lineRule="exact"/>
        <w:jc w:val="center"/>
        <w:rPr>
          <w:rFonts w:hint="eastAsia" w:ascii="黑体" w:hAnsi="黑体" w:eastAsia="黑体"/>
          <w:sz w:val="32"/>
          <w:szCs w:val="32"/>
        </w:rPr>
      </w:pPr>
    </w:p>
    <w:sdt>
      <w:sdtPr>
        <w:tag w:val="NEW_STAND_NAME"/>
        <w:id w:val="595910757"/>
        <w:lock w:val="sdtLocked"/>
        <w:placeholder>
          <w:docPart w:val="93434AF734AA47A882E440C0E386B4A4"/>
        </w:placeholder>
      </w:sdtPr>
      <w:sdtContent>
        <w:p w14:paraId="7CEE538C">
          <w:pPr>
            <w:pStyle w:val="178"/>
            <w:spacing w:before="312" w:beforeLines="100" w:after="686" w:afterLines="220"/>
            <w:rPr>
              <w:rFonts w:hint="eastAsia"/>
            </w:rPr>
          </w:pPr>
          <w:bookmarkStart w:id="27" w:name="NEW_STAND_NAME"/>
          <w:r>
            <w:rPr>
              <w:rFonts w:hint="eastAsia"/>
            </w:rPr>
            <w:t>公共机构绿色节能 第7部分：绿色评价</w:t>
          </w:r>
        </w:p>
      </w:sdtContent>
    </w:sdt>
    <w:bookmarkEnd w:id="27"/>
    <w:p w14:paraId="743A8F72">
      <w:pPr>
        <w:pStyle w:val="105"/>
        <w:spacing w:before="312" w:after="312"/>
      </w:pPr>
      <w:bookmarkStart w:id="28" w:name="_Toc26718930"/>
      <w:bookmarkStart w:id="29" w:name="_Toc17233325"/>
      <w:bookmarkStart w:id="30" w:name="_Toc24884211"/>
      <w:bookmarkStart w:id="31" w:name="_Toc17233333"/>
      <w:bookmarkStart w:id="32" w:name="_Toc24884218"/>
      <w:bookmarkStart w:id="33" w:name="_Toc20411"/>
      <w:bookmarkStart w:id="34" w:name="_Toc97191423"/>
      <w:bookmarkStart w:id="35" w:name="_Toc26986530"/>
      <w:bookmarkStart w:id="36" w:name="_Toc26986771"/>
      <w:bookmarkStart w:id="37" w:name="_Toc26648465"/>
      <w:r>
        <w:rPr>
          <w:rFonts w:hint="eastAsia"/>
        </w:rPr>
        <w:t>范围</w:t>
      </w:r>
      <w:bookmarkEnd w:id="28"/>
      <w:bookmarkEnd w:id="29"/>
      <w:bookmarkEnd w:id="30"/>
      <w:bookmarkEnd w:id="31"/>
      <w:bookmarkEnd w:id="32"/>
      <w:bookmarkEnd w:id="33"/>
      <w:bookmarkEnd w:id="34"/>
      <w:bookmarkEnd w:id="35"/>
      <w:bookmarkEnd w:id="36"/>
      <w:bookmarkEnd w:id="37"/>
    </w:p>
    <w:p w14:paraId="33B99D91">
      <w:pPr>
        <w:pStyle w:val="57"/>
        <w:ind w:firstLine="420"/>
        <w:rPr>
          <w:rFonts w:ascii="Times New Roman"/>
          <w:color w:val="000000" w:themeColor="text1"/>
          <w:szCs w:val="21"/>
          <w14:textFill>
            <w14:solidFill>
              <w14:schemeClr w14:val="tx1"/>
            </w14:solidFill>
          </w14:textFill>
        </w:rPr>
      </w:pPr>
      <w:bookmarkStart w:id="38" w:name="_Toc17233326"/>
      <w:bookmarkStart w:id="39" w:name="_Toc17233334"/>
      <w:bookmarkStart w:id="40" w:name="_Toc24884212"/>
      <w:bookmarkStart w:id="41" w:name="_Toc26648466"/>
      <w:bookmarkStart w:id="42" w:name="_Toc24884219"/>
      <w:r>
        <w:t>本</w:t>
      </w:r>
      <w:r>
        <w:rPr>
          <w:rFonts w:hint="eastAsia"/>
          <w:lang w:eastAsia="zh-CN"/>
        </w:rPr>
        <w:t>规范</w:t>
      </w:r>
      <w:r>
        <w:t>规定</w:t>
      </w:r>
      <w:r>
        <w:rPr>
          <w:color w:val="000000" w:themeColor="text1"/>
          <w14:textFill>
            <w14:solidFill>
              <w14:schemeClr w14:val="tx1"/>
            </w14:solidFill>
          </w14:textFill>
        </w:rPr>
        <w:t>了</w:t>
      </w:r>
      <w:r>
        <w:rPr>
          <w:rFonts w:hint="eastAsia"/>
          <w:color w:val="000000" w:themeColor="text1"/>
          <w14:textFill>
            <w14:solidFill>
              <w14:schemeClr w14:val="tx1"/>
            </w14:solidFill>
          </w14:textFill>
        </w:rPr>
        <w:t>河北省</w:t>
      </w:r>
      <w:r>
        <w:rPr>
          <w:color w:val="000000" w:themeColor="text1"/>
          <w14:textFill>
            <w14:solidFill>
              <w14:schemeClr w14:val="tx1"/>
            </w14:solidFill>
          </w14:textFill>
        </w:rPr>
        <w:t>公共机构</w:t>
      </w:r>
      <w:r>
        <w:rPr>
          <w:rFonts w:hint="eastAsia"/>
          <w:color w:val="000000" w:themeColor="text1"/>
          <w14:textFill>
            <w14:solidFill>
              <w14:schemeClr w14:val="tx1"/>
            </w14:solidFill>
          </w14:textFill>
        </w:rPr>
        <w:t>绿色</w:t>
      </w:r>
      <w:r>
        <w:rPr>
          <w:color w:val="000000" w:themeColor="text1"/>
          <w14:textFill>
            <w14:solidFill>
              <w14:schemeClr w14:val="tx1"/>
            </w14:solidFill>
          </w14:textFill>
        </w:rPr>
        <w:t>评价的基本要求、评价方法</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等级划分</w:t>
      </w:r>
      <w:r>
        <w:rPr>
          <w:rFonts w:hint="eastAsia"/>
          <w:color w:val="000000" w:themeColor="text1"/>
          <w14:textFill>
            <w14:solidFill>
              <w14:schemeClr w14:val="tx1"/>
            </w14:solidFill>
          </w14:textFill>
        </w:rPr>
        <w:t>和相关</w:t>
      </w:r>
      <w:r>
        <w:rPr>
          <w:color w:val="000000" w:themeColor="text1"/>
          <w14:textFill>
            <w14:solidFill>
              <w14:schemeClr w14:val="tx1"/>
            </w14:solidFill>
          </w14:textFill>
        </w:rPr>
        <w:t>指标体系。</w:t>
      </w:r>
    </w:p>
    <w:p w14:paraId="48650D38">
      <w:pPr>
        <w:pStyle w:val="57"/>
        <w:ind w:firstLine="420"/>
        <w:rPr>
          <w:rFonts w:ascii="Times New Roman"/>
        </w:rPr>
      </w:pPr>
      <w:r>
        <w:rPr>
          <w:color w:val="000000" w:themeColor="text1"/>
          <w14:textFill>
            <w14:solidFill>
              <w14:schemeClr w14:val="tx1"/>
            </w14:solidFill>
          </w14:textFill>
        </w:rPr>
        <w:t>本</w:t>
      </w:r>
      <w:r>
        <w:rPr>
          <w:rFonts w:hint="eastAsia"/>
          <w:lang w:eastAsia="zh-CN"/>
        </w:rPr>
        <w:t>规范</w:t>
      </w:r>
      <w:r>
        <w:rPr>
          <w:color w:val="000000" w:themeColor="text1"/>
          <w14:textFill>
            <w14:solidFill>
              <w14:schemeClr w14:val="tx1"/>
            </w14:solidFill>
          </w14:textFill>
        </w:rPr>
        <w:t>适用于</w:t>
      </w:r>
      <w:r>
        <w:rPr>
          <w:rFonts w:hint="eastAsia"/>
          <w:color w:val="000000" w:themeColor="text1"/>
          <w14:textFill>
            <w14:solidFill>
              <w14:schemeClr w14:val="tx1"/>
            </w14:solidFill>
          </w14:textFill>
        </w:rPr>
        <w:t>河北省</w:t>
      </w:r>
      <w:r>
        <w:rPr>
          <w:color w:val="000000" w:themeColor="text1"/>
          <w14:textFill>
            <w14:solidFill>
              <w14:schemeClr w14:val="tx1"/>
            </w14:solidFill>
          </w14:textFill>
        </w:rPr>
        <w:t>行</w:t>
      </w:r>
      <w:r>
        <w:t>政区域内公共机构运行期间的</w:t>
      </w:r>
      <w:r>
        <w:rPr>
          <w:rFonts w:hint="eastAsia"/>
        </w:rPr>
        <w:t>绿色</w:t>
      </w:r>
      <w:r>
        <w:t>评价。</w:t>
      </w:r>
    </w:p>
    <w:p w14:paraId="1341E898">
      <w:pPr>
        <w:pStyle w:val="105"/>
        <w:spacing w:before="312" w:after="312"/>
        <w:rPr>
          <w:rFonts w:hint="eastAsia"/>
          <w:color w:val="000000" w:themeColor="text1"/>
          <w14:textFill>
            <w14:solidFill>
              <w14:schemeClr w14:val="tx1"/>
            </w14:solidFill>
          </w14:textFill>
        </w:rPr>
      </w:pPr>
      <w:bookmarkStart w:id="43" w:name="_Toc26986531"/>
      <w:bookmarkStart w:id="44" w:name="_Toc26986772"/>
      <w:bookmarkStart w:id="45" w:name="_Toc14050"/>
      <w:bookmarkStart w:id="46" w:name="_Toc26718931"/>
      <w:bookmarkStart w:id="47" w:name="_Toc97191424"/>
      <w:r>
        <w:rPr>
          <w:rFonts w:hint="eastAsia"/>
        </w:rPr>
        <w:t>规范性引用文件</w:t>
      </w:r>
      <w:bookmarkEnd w:id="38"/>
      <w:bookmarkEnd w:id="39"/>
      <w:bookmarkEnd w:id="40"/>
      <w:bookmarkEnd w:id="41"/>
      <w:bookmarkEnd w:id="42"/>
      <w:bookmarkEnd w:id="43"/>
      <w:bookmarkEnd w:id="44"/>
      <w:bookmarkEnd w:id="45"/>
      <w:bookmarkEnd w:id="46"/>
      <w:bookmarkEnd w:id="47"/>
    </w:p>
    <w:p w14:paraId="69152D06">
      <w:pPr>
        <w:pStyle w:val="57"/>
        <w:ind w:firstLine="420"/>
        <w:rPr>
          <w:rFonts w:hint="eastAsia"/>
        </w:rPr>
      </w:pPr>
      <w:r>
        <w:rPr>
          <w:rFonts w:hint="eastAsia"/>
          <w:color w:val="auto"/>
        </w:rPr>
        <w:t>下列文件中的内容通过文中的规范性引用而构成</w:t>
      </w:r>
      <w:r>
        <w:rPr>
          <w:rFonts w:hint="eastAsia"/>
          <w:color w:val="auto"/>
          <w:lang w:eastAsia="zh-CN"/>
        </w:rPr>
        <w:t>本规范</w:t>
      </w:r>
      <w:r>
        <w:rPr>
          <w:rFonts w:hint="eastAsia"/>
          <w:color w:val="auto"/>
        </w:rPr>
        <w:t>必不可少的条款。其中，注日期的引用文件，仅该日期对应的版本适用于</w:t>
      </w:r>
      <w:r>
        <w:rPr>
          <w:rFonts w:hint="eastAsia"/>
          <w:color w:val="auto"/>
          <w:lang w:eastAsia="zh-CN"/>
        </w:rPr>
        <w:t>本规范</w:t>
      </w:r>
      <w:r>
        <w:rPr>
          <w:rFonts w:hint="eastAsia"/>
          <w:color w:val="auto"/>
        </w:rPr>
        <w:t>；不注日期的引用文件，其最新版本（包括所有的修改单）适用于</w:t>
      </w:r>
      <w:r>
        <w:rPr>
          <w:rFonts w:hint="eastAsia"/>
          <w:color w:val="auto"/>
          <w:lang w:eastAsia="zh-CN"/>
        </w:rPr>
        <w:t>本规范</w:t>
      </w:r>
      <w:r>
        <w:rPr>
          <w:rFonts w:hint="eastAsia"/>
          <w:color w:val="auto"/>
        </w:rPr>
        <w:t>。</w:t>
      </w:r>
    </w:p>
    <w:p w14:paraId="250DB247">
      <w:pPr>
        <w:pStyle w:val="57"/>
        <w:ind w:firstLine="420"/>
      </w:pPr>
      <w:bookmarkStart w:id="48" w:name="_Toc97191425"/>
      <w:r>
        <w:rPr>
          <w:rFonts w:hint="eastAsia"/>
        </w:rPr>
        <w:t>GB 17167  用能单位能源计量器具配备和管理通则</w:t>
      </w:r>
    </w:p>
    <w:p w14:paraId="7B7FEF69">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GB/T 18883  室内空气质量标准</w:t>
      </w:r>
    </w:p>
    <w:p w14:paraId="692E98CD">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GB/T 19095  生活垃圾分类标志</w:t>
      </w:r>
    </w:p>
    <w:p w14:paraId="4412FA1A">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GB/T 29149  公共机构能源资源计量器具配备和管理要求</w:t>
      </w:r>
    </w:p>
    <w:p w14:paraId="0C5E4E49">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GB 50118  民用建筑隔声设计规范 </w:t>
      </w:r>
    </w:p>
    <w:p w14:paraId="26E442B9">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GB 50189  公共建筑节能设计标准 </w:t>
      </w:r>
    </w:p>
    <w:p w14:paraId="30D4C251">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GB/T 51366 </w:t>
      </w:r>
      <w:bookmarkStart w:id="49" w:name="2c28808a6a95f375016a9c0211512eff"/>
      <w:r>
        <w:rPr>
          <w:rFonts w:hint="eastAsia"/>
          <w:color w:val="000000" w:themeColor="text1"/>
          <w14:textFill>
            <w14:solidFill>
              <w14:schemeClr w14:val="tx1"/>
            </w14:solidFill>
          </w14:textFill>
        </w:rPr>
        <w:t xml:space="preserve"> </w:t>
      </w:r>
      <w:r>
        <w:fldChar w:fldCharType="begin"/>
      </w:r>
      <w:r>
        <w:instrText xml:space="preserve"> HYPERLINK "https://www.bzsb.info/searchStandard.do" </w:instrText>
      </w:r>
      <w:r>
        <w:fldChar w:fldCharType="separate"/>
      </w:r>
      <w:r>
        <w:rPr>
          <w:color w:val="000000" w:themeColor="text1"/>
          <w14:textFill>
            <w14:solidFill>
              <w14:schemeClr w14:val="tx1"/>
            </w14:solidFill>
          </w14:textFill>
        </w:rPr>
        <w:t>建筑碳排放计算标准</w:t>
      </w:r>
      <w:bookmarkEnd w:id="49"/>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 xml:space="preserve"> </w:t>
      </w:r>
    </w:p>
    <w:p w14:paraId="41429498">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GB 55015  建筑节能与可再生能源利用通用规范</w:t>
      </w:r>
    </w:p>
    <w:p w14:paraId="3C3E5856">
      <w:pPr>
        <w:pStyle w:val="57"/>
        <w:ind w:firstLine="420"/>
        <w:rPr>
          <w:color w:val="000000" w:themeColor="text1"/>
          <w14:textFill>
            <w14:solidFill>
              <w14:schemeClr w14:val="tx1"/>
            </w14:solidFill>
          </w14:textFill>
        </w:rPr>
      </w:pPr>
      <w:bookmarkStart w:id="50" w:name="2c28808a739816a901739964beaa2ceb"/>
      <w:r>
        <w:rPr>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HYPERLINK "https://www.bzsb.info/javascript:void(0);"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DB13(J)/T 8353</w:t>
      </w:r>
      <w:bookmarkEnd w:id="50"/>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 xml:space="preserve">  公共机构能耗定额标准</w:t>
      </w:r>
    </w:p>
    <w:p w14:paraId="2D829E8E">
      <w:pPr>
        <w:pStyle w:val="105"/>
        <w:spacing w:before="312" w:after="312"/>
        <w:rPr>
          <w:color w:val="000000" w:themeColor="text1"/>
          <w14:textFill>
            <w14:solidFill>
              <w14:schemeClr w14:val="tx1"/>
            </w14:solidFill>
          </w14:textFill>
        </w:rPr>
      </w:pPr>
      <w:bookmarkStart w:id="51" w:name="_Toc29142"/>
      <w:r>
        <w:rPr>
          <w:rFonts w:hint="eastAsia"/>
          <w:color w:val="000000" w:themeColor="text1"/>
          <w:szCs w:val="21"/>
          <w14:textFill>
            <w14:solidFill>
              <w14:schemeClr w14:val="tx1"/>
            </w14:solidFill>
          </w14:textFill>
        </w:rPr>
        <w:t>术语和定义</w:t>
      </w:r>
      <w:bookmarkEnd w:id="48"/>
      <w:bookmarkEnd w:id="51"/>
    </w:p>
    <w:sdt>
      <w:sdtPr>
        <w:id w:val="-1909835108"/>
        <w:placeholder>
          <w:docPart w:val="FC7C362FB2E745B8A90E2117AF7973D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5E75A57">
          <w:pPr>
            <w:pStyle w:val="57"/>
            <w:ind w:firstLine="420"/>
          </w:pPr>
          <w:bookmarkStart w:id="52" w:name="_Toc26986532"/>
          <w:bookmarkEnd w:id="52"/>
          <w:r>
            <w:t>下列术语和定义适用于本文件。</w:t>
          </w:r>
        </w:p>
      </w:sdtContent>
    </w:sdt>
    <w:p w14:paraId="4FD3BE56">
      <w:pPr>
        <w:pStyle w:val="224"/>
        <w:ind w:left="420" w:hanging="420" w:hangingChars="200"/>
        <w:rPr>
          <w:rFonts w:hint="eastAsia" w:ascii="黑体" w:hAnsi="黑体" w:eastAsia="黑体"/>
          <w:szCs w:val="21"/>
        </w:rPr>
      </w:pPr>
      <w:r>
        <w:rPr>
          <w:rFonts w:ascii="黑体" w:hAnsi="黑体" w:eastAsia="黑体"/>
        </w:rPr>
        <w:br w:type="textWrapping"/>
      </w:r>
      <w:r>
        <w:rPr>
          <w:rFonts w:ascii="黑体" w:hAnsi="黑体" w:eastAsia="黑体"/>
        </w:rPr>
        <w:t xml:space="preserve">公共机构  </w:t>
      </w:r>
      <w:r>
        <w:rPr>
          <w:rFonts w:ascii="Times New Roman" w:eastAsia="黑体"/>
        </w:rPr>
        <w:t>public institution</w:t>
      </w:r>
    </w:p>
    <w:p w14:paraId="330C4200">
      <w:pPr>
        <w:pStyle w:val="57"/>
        <w:ind w:firstLine="420"/>
      </w:pPr>
      <w:r>
        <w:t xml:space="preserve">全部或者部分使用财政性资金的国家机关、事业单位和团体组织。 </w:t>
      </w:r>
    </w:p>
    <w:p w14:paraId="35EB16FA">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 xml:space="preserve">绿色公共机构  </w:t>
      </w:r>
      <w:r>
        <w:rPr>
          <w:rFonts w:ascii="Times New Roman" w:eastAsia="黑体"/>
        </w:rPr>
        <w:t>green public institution</w:t>
      </w:r>
    </w:p>
    <w:p w14:paraId="2371F132">
      <w:pPr>
        <w:pStyle w:val="231"/>
        <w:rPr>
          <w:rFonts w:ascii="Times New Roman"/>
          <w:kern w:val="2"/>
        </w:rPr>
      </w:pPr>
      <w:r>
        <w:rPr>
          <w:rFonts w:hAnsi="宋体"/>
          <w:kern w:val="2"/>
        </w:rPr>
        <w:t>在运行过程中，践行绿色低碳发展理念，通过采用有效技术措施和管理手段，合理利用各种资源，提高能源资源利用效率，减少对环境的负面影响，达到评价要求的公共机构。</w:t>
      </w:r>
    </w:p>
    <w:p w14:paraId="0FFA8817">
      <w:pPr>
        <w:pStyle w:val="224"/>
        <w:ind w:left="420" w:hanging="420" w:hangingChars="200"/>
        <w:rPr>
          <w:rFonts w:hint="eastAsia" w:ascii="黑体" w:hAnsi="黑体" w:eastAsia="黑体"/>
        </w:rPr>
      </w:pPr>
      <w:r>
        <w:rPr>
          <w:rFonts w:ascii="黑体" w:hAnsi="黑体" w:eastAsia="黑体"/>
        </w:rPr>
        <w:t xml:space="preserve"> </w:t>
      </w:r>
    </w:p>
    <w:p w14:paraId="7B35FB60">
      <w:pPr>
        <w:pStyle w:val="231"/>
        <w:rPr>
          <w:rFonts w:hint="eastAsia" w:ascii="黑体" w:hAnsi="黑体" w:eastAsia="黑体" w:cs="Times New Roman"/>
          <w:kern w:val="0"/>
          <w:sz w:val="21"/>
          <w:lang w:val="en-US" w:eastAsia="zh-CN" w:bidi="ar-SA"/>
        </w:rPr>
      </w:pPr>
      <w:r>
        <w:rPr>
          <w:rFonts w:ascii="黑体" w:hAnsi="黑体" w:eastAsia="黑体" w:cs="Times New Roman"/>
          <w:kern w:val="0"/>
          <w:sz w:val="21"/>
          <w:lang w:val="en-US" w:eastAsia="zh-CN" w:bidi="ar-SA"/>
        </w:rPr>
        <w:t>数据中心机房</w:t>
      </w:r>
      <w:r>
        <w:rPr>
          <w:rFonts w:hint="eastAsia" w:ascii="黑体" w:hAnsi="黑体" w:eastAsia="黑体" w:cs="Times New Roman"/>
          <w:kern w:val="0"/>
          <w:sz w:val="21"/>
          <w:lang w:val="en-US" w:eastAsia="zh-CN" w:bidi="ar-SA"/>
        </w:rPr>
        <w:t>P</w:t>
      </w:r>
      <w:r>
        <w:rPr>
          <w:rFonts w:ascii="黑体" w:hAnsi="黑体" w:eastAsia="黑体" w:cs="Times New Roman"/>
          <w:kern w:val="0"/>
          <w:sz w:val="21"/>
          <w:lang w:val="en-US" w:eastAsia="zh-CN" w:bidi="ar-SA"/>
        </w:rPr>
        <w:t>UE值</w:t>
      </w:r>
      <w:r>
        <w:rPr>
          <w:rFonts w:hint="eastAsia" w:ascii="黑体" w:hAnsi="黑体" w:eastAsia="黑体" w:cs="Times New Roman"/>
          <w:kern w:val="0"/>
          <w:sz w:val="21"/>
          <w:lang w:val="en-US" w:eastAsia="zh-CN" w:bidi="ar-SA"/>
        </w:rPr>
        <w:t xml:space="preserve">  power usage effectiveness of data center</w:t>
      </w:r>
    </w:p>
    <w:p w14:paraId="57747F0C">
      <w:pPr>
        <w:pStyle w:val="231"/>
        <w:rPr>
          <w:rFonts w:hAnsi="宋体"/>
          <w:kern w:val="2"/>
        </w:rPr>
      </w:pPr>
      <w:r>
        <w:rPr>
          <w:rFonts w:hAnsi="宋体"/>
          <w:kern w:val="2"/>
        </w:rPr>
        <w:t>在统计报告期内，数据中心机房的总耗电量（包括信息技术设备用能、空调用能、照明与插座等附属设备用能）与信息技术设备耗电量的比值。</w:t>
      </w:r>
    </w:p>
    <w:p w14:paraId="274B51D6">
      <w:pPr>
        <w:pStyle w:val="224"/>
        <w:ind w:left="420" w:hanging="420" w:hangingChars="200"/>
        <w:rPr>
          <w:rFonts w:hint="eastAsia" w:ascii="黑体" w:hAnsi="黑体" w:eastAsia="黑体"/>
        </w:rPr>
      </w:pPr>
      <w:r>
        <w:rPr>
          <w:rFonts w:ascii="黑体" w:hAnsi="黑体" w:eastAsia="黑体"/>
        </w:rPr>
        <w:t xml:space="preserve"> </w:t>
      </w:r>
    </w:p>
    <w:p w14:paraId="3FFB057B">
      <w:pPr>
        <w:pStyle w:val="233"/>
        <w:spacing w:beforeLines="0" w:afterLines="0"/>
        <w:ind w:firstLine="420" w:firstLineChars="200"/>
        <w:rPr>
          <w:rFonts w:ascii="Times New Roman"/>
        </w:rPr>
      </w:pPr>
      <w:r>
        <w:rPr>
          <w:rFonts w:hAnsi="黑体"/>
        </w:rPr>
        <w:t>碳排放量</w:t>
      </w:r>
      <w:r>
        <w:rPr>
          <w:rFonts w:ascii="Times New Roman"/>
          <w:color w:val="FF0000"/>
        </w:rPr>
        <w:t xml:space="preserve"> </w:t>
      </w:r>
      <w:r>
        <w:rPr>
          <w:rFonts w:ascii="Times New Roman"/>
        </w:rPr>
        <w:t>carbon emissions</w:t>
      </w:r>
    </w:p>
    <w:p w14:paraId="7CDE2C6A">
      <w:pPr>
        <w:pStyle w:val="231"/>
        <w:rPr>
          <w:rFonts w:ascii="Times New Roman"/>
          <w:kern w:val="2"/>
        </w:rPr>
      </w:pPr>
      <w:r>
        <w:rPr>
          <w:rFonts w:hAnsi="宋体"/>
          <w:kern w:val="2"/>
        </w:rPr>
        <w:t>一定时期内，公共机构核算边界内行政管理或服务中产生的二氧化碳排放量。</w:t>
      </w:r>
      <w:r>
        <w:rPr>
          <w:rFonts w:ascii="Times New Roman"/>
          <w:color w:val="FF0000"/>
          <w:kern w:val="2"/>
        </w:rPr>
        <w:t xml:space="preserve"> </w:t>
      </w:r>
    </w:p>
    <w:p w14:paraId="49EE261E">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绿容率</w:t>
      </w:r>
      <w:r>
        <w:rPr>
          <w:rFonts w:ascii="黑体" w:hAnsi="黑体" w:eastAsia="黑体"/>
          <w:color w:val="FF0000"/>
          <w:kern w:val="2"/>
        </w:rPr>
        <w:t xml:space="preserve"> </w:t>
      </w:r>
      <w:r>
        <w:rPr>
          <w:rFonts w:ascii="Times New Roman" w:eastAsia="黑体"/>
        </w:rPr>
        <w:t>green volume ratio</w:t>
      </w:r>
    </w:p>
    <w:p w14:paraId="269500AC">
      <w:pPr>
        <w:pStyle w:val="233"/>
        <w:spacing w:beforeLines="0" w:afterLines="0"/>
        <w:ind w:firstLine="420" w:firstLineChars="200"/>
        <w:rPr>
          <w:rFonts w:ascii="Times New Roman"/>
          <w:kern w:val="2"/>
        </w:rPr>
      </w:pPr>
      <w:r>
        <w:rPr>
          <w:rFonts w:ascii="宋体" w:hAnsi="宋体" w:eastAsia="宋体"/>
          <w:kern w:val="2"/>
        </w:rPr>
        <w:t>场地内各类植被叶面积总量与场地面积的比值，亦称为绿量容积率。</w:t>
      </w:r>
    </w:p>
    <w:p w14:paraId="70C3ACB4">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 xml:space="preserve">可再生能源电力替代率 </w:t>
      </w:r>
      <w:r>
        <w:rPr>
          <w:rFonts w:ascii="Times New Roman" w:eastAsia="黑体"/>
        </w:rPr>
        <w:t>renewable electricity replacement rate</w:t>
      </w:r>
    </w:p>
    <w:p w14:paraId="011E7D09">
      <w:pPr>
        <w:pStyle w:val="57"/>
        <w:ind w:firstLine="420"/>
        <w:rPr>
          <w:rFonts w:ascii="Times New Roman"/>
        </w:rPr>
      </w:pPr>
      <w:r>
        <w:t>建筑使用自身或项目周边可再生能源发电量占建筑全部能源用量的比例。</w:t>
      </w:r>
    </w:p>
    <w:p w14:paraId="554BA2B5">
      <w:pPr>
        <w:pStyle w:val="105"/>
        <w:spacing w:before="312" w:after="312"/>
      </w:pPr>
      <w:bookmarkStart w:id="53" w:name="_Toc29485"/>
      <w:r>
        <w:t>基本要求</w:t>
      </w:r>
      <w:bookmarkEnd w:id="53"/>
    </w:p>
    <w:p w14:paraId="20083CA3">
      <w:pPr>
        <w:pStyle w:val="163"/>
        <w:rPr>
          <w:rFonts w:ascii="Times New Roman"/>
          <w:szCs w:val="21"/>
        </w:rPr>
      </w:pPr>
      <w:r>
        <w:t>应</w:t>
      </w:r>
      <w:r>
        <w:rPr>
          <w:rFonts w:hint="eastAsia"/>
        </w:rPr>
        <w:t>按时</w:t>
      </w:r>
      <w:r>
        <w:t>完成上级节能行政主管部门下达的节能降碳考核目标。</w:t>
      </w:r>
    </w:p>
    <w:p w14:paraId="20F6B7AA">
      <w:pPr>
        <w:pStyle w:val="163"/>
        <w:rPr>
          <w:rFonts w:ascii="Times New Roman"/>
          <w:color w:val="000000" w:themeColor="text1"/>
          <w14:textFill>
            <w14:solidFill>
              <w14:schemeClr w14:val="tx1"/>
            </w14:solidFill>
          </w14:textFill>
        </w:rPr>
      </w:pPr>
      <w:r>
        <w:rPr>
          <w:rFonts w:hint="eastAsia" w:ascii="Times New Roman"/>
        </w:rPr>
        <w:t>单位建筑面积非供暖能耗、单位供暖建筑面积供暖能耗和人均综合能耗指标不应大于</w:t>
      </w:r>
      <w:r>
        <w:rPr>
          <w:rFonts w:hint="eastAsia" w:ascii="Times New Roman"/>
          <w:color w:val="000000" w:themeColor="text1"/>
          <w14:textFill>
            <w14:solidFill>
              <w14:schemeClr w14:val="tx1"/>
            </w14:solidFill>
          </w14:textFill>
        </w:rPr>
        <w:t>DB13(J)/T8353中约束值的要求。</w:t>
      </w:r>
    </w:p>
    <w:p w14:paraId="49F4A2C0">
      <w:pPr>
        <w:pStyle w:val="163"/>
        <w:rPr>
          <w:rFonts w:ascii="Times New Roman"/>
        </w:rPr>
      </w:pPr>
      <w:r>
        <w:rPr>
          <w:color w:val="000000" w:themeColor="text1"/>
          <w14:textFill>
            <w14:solidFill>
              <w14:schemeClr w14:val="tx1"/>
            </w14:solidFill>
          </w14:textFill>
        </w:rPr>
        <w:t>取水定额</w:t>
      </w:r>
      <w:r>
        <w:rPr>
          <w:rFonts w:hint="eastAsia"/>
          <w:color w:val="000000" w:themeColor="text1"/>
          <w14:textFill>
            <w14:solidFill>
              <w14:schemeClr w14:val="tx1"/>
            </w14:solidFill>
          </w14:textFill>
        </w:rPr>
        <w:t>不得超过</w:t>
      </w:r>
      <w:r>
        <w:rPr>
          <w:rFonts w:hint="eastAsia" w:ascii="Times New Roman"/>
          <w:color w:val="000000" w:themeColor="text1"/>
          <w14:textFill>
            <w14:solidFill>
              <w14:schemeClr w14:val="tx1"/>
            </w14:solidFill>
          </w14:textFill>
        </w:rPr>
        <w:t>DB13(J)/T8353中约束值</w:t>
      </w:r>
      <w:r>
        <w:rPr>
          <w:rFonts w:hint="eastAsia" w:ascii="Times New Roman"/>
        </w:rPr>
        <w:t>的</w:t>
      </w:r>
      <w:r>
        <w:rPr>
          <w:rFonts w:hint="eastAsia"/>
        </w:rPr>
        <w:t>要求。</w:t>
      </w:r>
    </w:p>
    <w:p w14:paraId="24D29C32">
      <w:pPr>
        <w:pStyle w:val="163"/>
        <w:rPr>
          <w:rFonts w:ascii="Times New Roman"/>
        </w:rPr>
      </w:pPr>
      <w:r>
        <w:rPr>
          <w:rFonts w:hint="eastAsia"/>
        </w:rPr>
        <w:t>绿色公共机构应符合</w:t>
      </w:r>
      <w:r>
        <w:t>近</w:t>
      </w:r>
      <w:r>
        <w:rPr>
          <w:rFonts w:ascii="Times New Roman"/>
        </w:rPr>
        <w:t>3</w:t>
      </w:r>
      <w:r>
        <w:t>年内未因环境污染问题受到环保部门通报处罚，未发生重大安全事故</w:t>
      </w:r>
      <w:r>
        <w:rPr>
          <w:rFonts w:hint="eastAsia"/>
        </w:rPr>
        <w:t>的要求</w:t>
      </w:r>
      <w:r>
        <w:t>。</w:t>
      </w:r>
    </w:p>
    <w:p w14:paraId="36CA39C3">
      <w:pPr>
        <w:pStyle w:val="105"/>
        <w:spacing w:before="312" w:after="312"/>
        <w:rPr>
          <w:rFonts w:ascii="Times New Roman"/>
          <w:szCs w:val="21"/>
        </w:rPr>
      </w:pPr>
      <w:bookmarkStart w:id="54" w:name="_Toc3652"/>
      <w:r>
        <w:t>评价方法与等级划分</w:t>
      </w:r>
      <w:bookmarkEnd w:id="54"/>
    </w:p>
    <w:p w14:paraId="11E7137E">
      <w:pPr>
        <w:pStyle w:val="163"/>
        <w:rPr>
          <w:rFonts w:ascii="Times New Roman"/>
          <w:szCs w:val="21"/>
        </w:rPr>
      </w:pPr>
      <w:r>
        <w:t>绿色公共机构</w:t>
      </w:r>
      <w:r>
        <w:rPr>
          <w:rFonts w:hint="eastAsia"/>
        </w:rPr>
        <w:t>应</w:t>
      </w:r>
      <w:r>
        <w:t>以单一机构为评价对象，当多个单位合署办公时，公共使用部分</w:t>
      </w:r>
      <w:r>
        <w:rPr>
          <w:rFonts w:hint="eastAsia"/>
        </w:rPr>
        <w:t>应</w:t>
      </w:r>
      <w:r>
        <w:t>共同评价，独立使用部分</w:t>
      </w:r>
      <w:r>
        <w:rPr>
          <w:rFonts w:hint="eastAsia"/>
        </w:rPr>
        <w:t>应</w:t>
      </w:r>
      <w:r>
        <w:t>分别评价。</w:t>
      </w:r>
    </w:p>
    <w:p w14:paraId="256810C2">
      <w:pPr>
        <w:pStyle w:val="163"/>
        <w:rPr>
          <w:rFonts w:ascii="Times New Roman"/>
        </w:rPr>
      </w:pPr>
      <w:r>
        <w:t>绿色公共机构评价指标体系由设</w:t>
      </w:r>
      <w:r>
        <w:rPr>
          <w:color w:val="000000" w:themeColor="text1"/>
          <w14:textFill>
            <w14:solidFill>
              <w14:schemeClr w14:val="tx1"/>
            </w14:solidFill>
          </w14:textFill>
        </w:rPr>
        <w:t>施及配套、管理与实施、低碳引导、特性评价和提高与创新</w:t>
      </w:r>
      <w:r>
        <w:rPr>
          <w:rFonts w:ascii="Times New Roman"/>
          <w:color w:val="000000" w:themeColor="text1"/>
          <w14:textFill>
            <w14:solidFill>
              <w14:schemeClr w14:val="tx1"/>
            </w14:solidFill>
          </w14:textFill>
        </w:rPr>
        <w:t>5</w:t>
      </w:r>
      <w:r>
        <w:t>个部分组成，其中，设施及配套、管理与实施、低碳引导部分包含控制项和评分项，特性评价和提高与创新部分全部为评分项。</w:t>
      </w:r>
    </w:p>
    <w:p w14:paraId="223DCCDA">
      <w:pPr>
        <w:pStyle w:val="163"/>
        <w:rPr>
          <w:rFonts w:ascii="Times New Roman"/>
          <w:szCs w:val="21"/>
        </w:rPr>
      </w:pPr>
      <w:r>
        <w:t>绿色公共机构评价控制项的评定结果应为达标或不达标，不适用的为不参评；评分项的评定结果应为分值。评分项总分值</w:t>
      </w:r>
      <w:r>
        <w:rPr>
          <w:rFonts w:ascii="Times New Roman"/>
        </w:rPr>
        <w:t>110</w:t>
      </w:r>
      <w:r>
        <w:t>分，其中设施及配套部分</w:t>
      </w:r>
      <w:r>
        <w:rPr>
          <w:rFonts w:ascii="Times New Roman"/>
        </w:rPr>
        <w:t>40</w:t>
      </w:r>
      <w:r>
        <w:t>分，管理与实施部分</w:t>
      </w:r>
      <w:r>
        <w:rPr>
          <w:rFonts w:ascii="Times New Roman"/>
        </w:rPr>
        <w:t>45</w:t>
      </w:r>
      <w:r>
        <w:t>分，低碳引导部分</w:t>
      </w:r>
      <w:r>
        <w:rPr>
          <w:rFonts w:ascii="Times New Roman"/>
        </w:rPr>
        <w:t>10</w:t>
      </w:r>
      <w:r>
        <w:t>分，特性评价部分</w:t>
      </w:r>
      <w:r>
        <w:rPr>
          <w:rFonts w:ascii="Times New Roman"/>
        </w:rPr>
        <w:t>5</w:t>
      </w:r>
      <w:r>
        <w:t>分，提高与创新部分</w:t>
      </w:r>
      <w:r>
        <w:rPr>
          <w:rFonts w:ascii="Times New Roman"/>
        </w:rPr>
        <w:t>10</w:t>
      </w:r>
      <w:r>
        <w:t>分。</w:t>
      </w:r>
    </w:p>
    <w:p w14:paraId="21A55EA6">
      <w:pPr>
        <w:pStyle w:val="163"/>
        <w:rPr>
          <w:rFonts w:ascii="Times New Roman"/>
          <w:szCs w:val="21"/>
        </w:rPr>
      </w:pPr>
      <w:r>
        <w:t>绿色公共机构评价的总得分应按以下方法进行计算：</w:t>
      </w:r>
    </w:p>
    <w:p w14:paraId="1C62F4F0">
      <w:pPr>
        <w:pStyle w:val="175"/>
        <w:numPr>
          <w:ilvl w:val="0"/>
          <w:numId w:val="32"/>
        </w:numPr>
        <w:rPr>
          <w:rFonts w:ascii="Times New Roman"/>
          <w:color w:val="000000" w:themeColor="text1"/>
          <w:kern w:val="2"/>
          <w:szCs w:val="21"/>
          <w14:textFill>
            <w14:solidFill>
              <w14:schemeClr w14:val="tx1"/>
            </w14:solidFill>
          </w14:textFill>
        </w:rPr>
      </w:pPr>
      <w:r>
        <w:rPr>
          <w:color w:val="000000" w:themeColor="text1"/>
          <w14:textFill>
            <w14:solidFill>
              <w14:schemeClr w14:val="tx1"/>
            </w14:solidFill>
          </w14:textFill>
        </w:rPr>
        <w:t>每个评价部分得分应按评价条文的得分累加计算，当某条文或条款内容不适用项目条件时，条文所在的评价部分得分以实际得分乘以修正系数进行计算，修正系数为该部分的满分除以该部分应参评总分；</w:t>
      </w:r>
    </w:p>
    <w:p w14:paraId="587099EB">
      <w:pPr>
        <w:pStyle w:val="175"/>
        <w:rPr>
          <w:rFonts w:ascii="Times New Roman"/>
        </w:rPr>
      </w:pPr>
      <w:r>
        <w:t>特性评价将公共机构分为机关办公、医院、学校、场馆四个类型，四个类型之外的其他类型公共机构参照机关办公进行评价；</w:t>
      </w:r>
    </w:p>
    <w:p w14:paraId="32751060">
      <w:pPr>
        <w:pStyle w:val="175"/>
        <w:rPr>
          <w:rFonts w:ascii="Times New Roman"/>
        </w:rPr>
      </w:pPr>
      <w:r>
        <w:t>当提高与创新部分得分大于</w:t>
      </w:r>
      <w:r>
        <w:rPr>
          <w:rFonts w:ascii="Times New Roman"/>
        </w:rPr>
        <w:t>10</w:t>
      </w:r>
      <w:r>
        <w:t>分时，应按</w:t>
      </w:r>
      <w:r>
        <w:rPr>
          <w:rFonts w:ascii="Times New Roman"/>
        </w:rPr>
        <w:t>10</w:t>
      </w:r>
      <w:r>
        <w:t>分计算；</w:t>
      </w:r>
    </w:p>
    <w:p w14:paraId="74340D5C">
      <w:pPr>
        <w:pStyle w:val="175"/>
        <w:rPr>
          <w:rFonts w:ascii="Times New Roman"/>
        </w:rPr>
      </w:pPr>
      <w:r>
        <w:t>除条文明确要求外，</w:t>
      </w:r>
      <w:r>
        <w:rPr>
          <w:color w:val="000000" w:themeColor="text1"/>
          <w14:textFill>
            <w14:solidFill>
              <w14:schemeClr w14:val="tx1"/>
            </w14:solidFill>
          </w14:textFill>
        </w:rPr>
        <w:t>评分项内容在适用区域应用比例不低于</w:t>
      </w:r>
      <w:r>
        <w:rPr>
          <w:rFonts w:ascii="Times New Roman"/>
          <w:color w:val="000000" w:themeColor="text1"/>
          <w14:textFill>
            <w14:solidFill>
              <w14:schemeClr w14:val="tx1"/>
            </w14:solidFill>
          </w14:textFill>
        </w:rPr>
        <w:t>60%</w:t>
      </w:r>
      <w:r>
        <w:rPr>
          <w:color w:val="000000" w:themeColor="text1"/>
          <w14:textFill>
            <w14:solidFill>
              <w14:schemeClr w14:val="tx1"/>
            </w14:solidFill>
          </w14:textFill>
        </w:rPr>
        <w:t>时，</w:t>
      </w:r>
      <w:r>
        <w:t>方可得分；</w:t>
      </w:r>
    </w:p>
    <w:p w14:paraId="5D73A4FA">
      <w:pPr>
        <w:pStyle w:val="175"/>
        <w:rPr>
          <w:rFonts w:ascii="Times New Roman"/>
        </w:rPr>
      </w:pPr>
      <w:r>
        <w:t>总得分应按每个评价部分的得分累加计算。</w:t>
      </w:r>
      <w:r>
        <w:rPr>
          <w:rFonts w:ascii="Times New Roman"/>
        </w:rPr>
        <w:t xml:space="preserve"> </w:t>
      </w:r>
    </w:p>
    <w:p w14:paraId="2D23932A">
      <w:pPr>
        <w:pStyle w:val="163"/>
        <w:rPr>
          <w:rFonts w:ascii="Times New Roman"/>
          <w:szCs w:val="21"/>
        </w:rPr>
      </w:pPr>
      <w:r>
        <w:rPr>
          <w:rFonts w:hint="eastAsia"/>
        </w:rPr>
        <w:t>当公共机构满足4基本要求，各等级控制项全部达标</w:t>
      </w:r>
      <w:r>
        <w:t>，总得分分别达到</w:t>
      </w:r>
      <w:r>
        <w:rPr>
          <w:rFonts w:ascii="Times New Roman"/>
        </w:rPr>
        <w:t>40</w:t>
      </w:r>
      <w:r>
        <w:t>分、</w:t>
      </w:r>
      <w:r>
        <w:rPr>
          <w:rFonts w:ascii="Times New Roman"/>
        </w:rPr>
        <w:t>50</w:t>
      </w:r>
      <w:r>
        <w:t>分、</w:t>
      </w:r>
      <w:r>
        <w:rPr>
          <w:rFonts w:ascii="Times New Roman"/>
        </w:rPr>
        <w:t>60</w:t>
      </w:r>
      <w:r>
        <w:t>分、</w:t>
      </w:r>
      <w:r>
        <w:rPr>
          <w:rFonts w:ascii="Times New Roman"/>
        </w:rPr>
        <w:t>80</w:t>
      </w:r>
      <w:r>
        <w:t>分时，绿色公共机构等级分别为基本级、一星级、二星级、三星级</w:t>
      </w:r>
      <w:r>
        <w:rPr>
          <w:rFonts w:ascii="Times New Roman"/>
        </w:rPr>
        <w:t>4</w:t>
      </w:r>
      <w:r>
        <w:t>个等级</w:t>
      </w:r>
      <w:r>
        <w:rPr>
          <w:rFonts w:hint="eastAsia"/>
        </w:rPr>
        <w:t>。</w:t>
      </w:r>
    </w:p>
    <w:p w14:paraId="64E63171">
      <w:pPr>
        <w:pStyle w:val="105"/>
        <w:spacing w:before="312" w:after="312"/>
        <w:rPr>
          <w:rFonts w:ascii="Times New Roman"/>
          <w:szCs w:val="21"/>
        </w:rPr>
      </w:pPr>
      <w:bookmarkStart w:id="55" w:name="_Toc32414"/>
      <w:r>
        <w:rPr>
          <w:rFonts w:hint="eastAsia"/>
        </w:rPr>
        <w:t>设施及配套</w:t>
      </w:r>
      <w:bookmarkEnd w:id="55"/>
    </w:p>
    <w:p w14:paraId="5AEF22AA">
      <w:pPr>
        <w:pStyle w:val="106"/>
        <w:spacing w:before="156" w:after="156"/>
        <w:rPr>
          <w:rFonts w:ascii="Times New Roman"/>
          <w:szCs w:val="21"/>
        </w:rPr>
      </w:pPr>
      <w:bookmarkStart w:id="56" w:name="_Toc19426"/>
      <w:r>
        <w:t>控制项</w:t>
      </w:r>
      <w:bookmarkEnd w:id="56"/>
    </w:p>
    <w:p w14:paraId="2C1C4FC5">
      <w:pPr>
        <w:pStyle w:val="166"/>
        <w:rPr>
          <w:rFonts w:ascii="Times New Roman"/>
          <w:szCs w:val="21"/>
        </w:rPr>
      </w:pPr>
      <w:r>
        <w:t>设置用于分类收集的垃圾收集站</w:t>
      </w:r>
      <w:r>
        <w:rPr>
          <w:rFonts w:hint="eastAsia"/>
        </w:rPr>
        <w:t>点和垃圾桶（箱），分类标识应符合</w:t>
      </w:r>
      <w:r>
        <w:rPr>
          <w:rFonts w:ascii="Times New Roman"/>
        </w:rPr>
        <w:t>GB/T 19095</w:t>
      </w:r>
      <w:r>
        <w:rPr>
          <w:rFonts w:hint="eastAsia"/>
        </w:rPr>
        <w:t>要求</w:t>
      </w:r>
      <w:r>
        <w:t>。</w:t>
      </w:r>
    </w:p>
    <w:p w14:paraId="711122F4">
      <w:pPr>
        <w:pStyle w:val="166"/>
        <w:rPr>
          <w:rFonts w:ascii="Times New Roman"/>
        </w:rPr>
      </w:pPr>
      <w:r>
        <w:rPr>
          <w:rFonts w:hint="eastAsia"/>
        </w:rPr>
        <w:t>建筑室内外设备</w:t>
      </w:r>
      <w:r>
        <w:t>及</w:t>
      </w:r>
      <w:r>
        <w:rPr>
          <w:rFonts w:hint="eastAsia"/>
        </w:rPr>
        <w:t>门窗、保温、遮阳等</w:t>
      </w:r>
      <w:r>
        <w:t>附属设施</w:t>
      </w:r>
      <w:r>
        <w:rPr>
          <w:rFonts w:hint="eastAsia"/>
        </w:rPr>
        <w:t>等应连接牢固</w:t>
      </w:r>
      <w:r>
        <w:t>。</w:t>
      </w:r>
    </w:p>
    <w:p w14:paraId="2364B251">
      <w:pPr>
        <w:pStyle w:val="166"/>
        <w:rPr>
          <w:rFonts w:ascii="Times New Roman"/>
        </w:rPr>
      </w:pPr>
      <w:r>
        <w:rPr>
          <w:rFonts w:hint="eastAsia"/>
        </w:rPr>
        <w:t>非亲水性的室外景观水体用水水源不应采用市政自来水和地下井水</w:t>
      </w:r>
      <w:r>
        <w:t>。</w:t>
      </w:r>
    </w:p>
    <w:p w14:paraId="56E42208">
      <w:pPr>
        <w:pStyle w:val="166"/>
        <w:rPr>
          <w:rFonts w:ascii="Times New Roman"/>
        </w:rPr>
      </w:pPr>
      <w:r>
        <w:rPr>
          <w:rFonts w:hint="eastAsia"/>
        </w:rPr>
        <w:t>不应</w:t>
      </w:r>
      <w:r>
        <w:t>使用国家明令淘汰的用能产品设备。</w:t>
      </w:r>
    </w:p>
    <w:p w14:paraId="14AB8F18">
      <w:pPr>
        <w:pStyle w:val="106"/>
        <w:spacing w:before="156" w:after="156"/>
        <w:rPr>
          <w:rFonts w:ascii="Times New Roman"/>
          <w:szCs w:val="21"/>
        </w:rPr>
      </w:pPr>
      <w:bookmarkStart w:id="57" w:name="_Toc8078"/>
      <w:r>
        <w:t>评分项</w:t>
      </w:r>
      <w:bookmarkEnd w:id="57"/>
    </w:p>
    <w:p w14:paraId="5ED4BCFA">
      <w:pPr>
        <w:pStyle w:val="66"/>
        <w:spacing w:before="156" w:after="156"/>
        <w:rPr>
          <w:szCs w:val="21"/>
        </w:rPr>
      </w:pPr>
      <w:r>
        <w:rPr>
          <w:rFonts w:hint="eastAsia"/>
        </w:rPr>
        <w:t xml:space="preserve">围护结构 </w:t>
      </w:r>
    </w:p>
    <w:p w14:paraId="4FEBCF1F">
      <w:pPr>
        <w:pStyle w:val="165"/>
        <w:rPr>
          <w:szCs w:val="21"/>
        </w:rPr>
      </w:pPr>
      <w:r>
        <w:rPr>
          <w:rFonts w:hint="eastAsia"/>
        </w:rPr>
        <w:t>建筑围护结构热工性能评价总分值为3分，并按下列规则评分：</w:t>
      </w:r>
    </w:p>
    <w:p w14:paraId="2CE23F1D">
      <w:pPr>
        <w:pStyle w:val="175"/>
        <w:numPr>
          <w:ilvl w:val="0"/>
          <w:numId w:val="33"/>
        </w:numPr>
        <w:rPr>
          <w:color w:val="000000" w:themeColor="text1"/>
          <w:kern w:val="2"/>
          <w:szCs w:val="21"/>
          <w14:textFill>
            <w14:solidFill>
              <w14:schemeClr w14:val="tx1"/>
            </w14:solidFill>
          </w14:textFill>
        </w:rPr>
      </w:pPr>
      <w:r>
        <w:rPr>
          <w:rFonts w:hint="eastAsia"/>
          <w:color w:val="000000" w:themeColor="text1"/>
          <w14:textFill>
            <w14:solidFill>
              <w14:schemeClr w14:val="tx1"/>
            </w14:solidFill>
          </w14:textFill>
        </w:rPr>
        <w:t>建筑外墙、屋面采取保温隔热措施，外窗采用气密性良好的节能门窗，得2分；</w:t>
      </w:r>
    </w:p>
    <w:p w14:paraId="290B67A5">
      <w:pPr>
        <w:pStyle w:val="175"/>
        <w:rPr>
          <w:color w:val="000000" w:themeColor="text1"/>
          <w14:textFill>
            <w14:solidFill>
              <w14:schemeClr w14:val="tx1"/>
            </w14:solidFill>
          </w14:textFill>
        </w:rPr>
      </w:pPr>
      <w:r>
        <w:rPr>
          <w:rFonts w:hint="eastAsia"/>
          <w:color w:val="000000" w:themeColor="text1"/>
          <w14:textFill>
            <w14:solidFill>
              <w14:schemeClr w14:val="tx1"/>
            </w14:solidFill>
          </w14:textFill>
        </w:rPr>
        <w:t>围护结构热工性能符合国家及河北省相关节能标准的规定，得3分。</w:t>
      </w:r>
    </w:p>
    <w:p w14:paraId="357E55F8">
      <w:pPr>
        <w:pStyle w:val="165"/>
        <w:rPr>
          <w:rFonts w:ascii="Times New Roman"/>
          <w:color w:val="000000" w:themeColor="text1"/>
          <w:szCs w:val="21"/>
          <w14:textFill>
            <w14:solidFill>
              <w14:schemeClr w14:val="tx1"/>
            </w14:solidFill>
          </w14:textFill>
        </w:rPr>
      </w:pPr>
      <w:r>
        <w:rPr>
          <w:color w:val="000000" w:themeColor="text1"/>
          <w14:textFill>
            <w14:solidFill>
              <w14:schemeClr w14:val="tx1"/>
            </w14:solidFill>
          </w14:textFill>
        </w:rPr>
        <w:t>建筑外门窗</w:t>
      </w:r>
      <w:r>
        <w:rPr>
          <w:rFonts w:hint="eastAsia"/>
          <w:color w:val="000000" w:themeColor="text1"/>
          <w14:textFill>
            <w14:solidFill>
              <w14:schemeClr w14:val="tx1"/>
            </w14:solidFill>
          </w14:textFill>
        </w:rPr>
        <w:t>应采用</w:t>
      </w:r>
      <w:r>
        <w:rPr>
          <w:color w:val="000000" w:themeColor="text1"/>
          <w14:textFill>
            <w14:solidFill>
              <w14:schemeClr w14:val="tx1"/>
            </w14:solidFill>
          </w14:textFill>
        </w:rPr>
        <w:t>节能措施，评价总分值为</w:t>
      </w:r>
      <w:r>
        <w:rPr>
          <w:rFonts w:hint="eastAsia" w:ascii="Times New Roman"/>
          <w:color w:val="000000" w:themeColor="text1"/>
          <w14:textFill>
            <w14:solidFill>
              <w14:schemeClr w14:val="tx1"/>
            </w14:solidFill>
          </w14:textFill>
        </w:rPr>
        <w:t>2</w:t>
      </w:r>
      <w:r>
        <w:rPr>
          <w:color w:val="000000" w:themeColor="text1"/>
          <w14:textFill>
            <w14:solidFill>
              <w14:schemeClr w14:val="tx1"/>
            </w14:solidFill>
          </w14:textFill>
        </w:rPr>
        <w:t>分，</w:t>
      </w:r>
      <w:r>
        <w:rPr>
          <w:rFonts w:hint="eastAsia"/>
          <w:color w:val="000000" w:themeColor="text1"/>
          <w14:textFill>
            <w14:solidFill>
              <w14:schemeClr w14:val="tx1"/>
            </w14:solidFill>
          </w14:textFill>
        </w:rPr>
        <w:t>并</w:t>
      </w:r>
      <w:r>
        <w:rPr>
          <w:color w:val="000000" w:themeColor="text1"/>
          <w14:textFill>
            <w14:solidFill>
              <w14:schemeClr w14:val="tx1"/>
            </w14:solidFill>
          </w14:textFill>
        </w:rPr>
        <w:t>按</w:t>
      </w:r>
      <w:r>
        <w:rPr>
          <w:rFonts w:hint="eastAsia"/>
          <w:color w:val="000000" w:themeColor="text1"/>
          <w14:textFill>
            <w14:solidFill>
              <w14:schemeClr w14:val="tx1"/>
            </w14:solidFill>
          </w14:textFill>
        </w:rPr>
        <w:t>下列</w:t>
      </w:r>
      <w:r>
        <w:rPr>
          <w:color w:val="000000" w:themeColor="text1"/>
          <w14:textFill>
            <w14:solidFill>
              <w14:schemeClr w14:val="tx1"/>
            </w14:solidFill>
          </w14:textFill>
        </w:rPr>
        <w:t>规则</w:t>
      </w:r>
      <w:r>
        <w:rPr>
          <w:rFonts w:hint="eastAsia"/>
          <w:color w:val="000000" w:themeColor="text1"/>
          <w14:textFill>
            <w14:solidFill>
              <w14:schemeClr w14:val="tx1"/>
            </w14:solidFill>
          </w14:textFill>
        </w:rPr>
        <w:t>分别</w:t>
      </w:r>
      <w:r>
        <w:rPr>
          <w:color w:val="000000" w:themeColor="text1"/>
          <w14:textFill>
            <w14:solidFill>
              <w14:schemeClr w14:val="tx1"/>
            </w14:solidFill>
          </w14:textFill>
        </w:rPr>
        <w:t>评分</w:t>
      </w:r>
      <w:r>
        <w:rPr>
          <w:rFonts w:hint="eastAsia"/>
          <w:color w:val="000000" w:themeColor="text1"/>
          <w14:textFill>
            <w14:solidFill>
              <w14:schemeClr w14:val="tx1"/>
            </w14:solidFill>
          </w14:textFill>
        </w:rPr>
        <w:t>并累计</w:t>
      </w:r>
      <w:r>
        <w:rPr>
          <w:color w:val="000000" w:themeColor="text1"/>
          <w14:textFill>
            <w14:solidFill>
              <w14:schemeClr w14:val="tx1"/>
            </w14:solidFill>
          </w14:textFill>
        </w:rPr>
        <w:t>：</w:t>
      </w:r>
    </w:p>
    <w:p w14:paraId="02048F30">
      <w:pPr>
        <w:pStyle w:val="175"/>
        <w:numPr>
          <w:ilvl w:val="0"/>
          <w:numId w:val="34"/>
        </w:numPr>
        <w:rPr>
          <w:color w:val="000000" w:themeColor="text1"/>
          <w:kern w:val="2"/>
          <w:szCs w:val="21"/>
          <w14:textFill>
            <w14:solidFill>
              <w14:schemeClr w14:val="tx1"/>
            </w14:solidFill>
          </w14:textFill>
        </w:rPr>
      </w:pPr>
      <w:r>
        <w:rPr>
          <w:rFonts w:hint="eastAsia"/>
          <w:color w:val="000000" w:themeColor="text1"/>
          <w14:textFill>
            <w14:solidFill>
              <w14:schemeClr w14:val="tx1"/>
            </w14:solidFill>
          </w14:textFill>
        </w:rPr>
        <w:t>建筑朝向为北、东、西的外门设门斗或其他减少冷风侵入的措施，得1分；</w:t>
      </w:r>
    </w:p>
    <w:p w14:paraId="0664322D">
      <w:pPr>
        <w:pStyle w:val="175"/>
        <w:rPr>
          <w:color w:val="000000" w:themeColor="text1"/>
          <w14:textFill>
            <w14:solidFill>
              <w14:schemeClr w14:val="tx1"/>
            </w14:solidFill>
          </w14:textFill>
        </w:rPr>
      </w:pPr>
      <w:r>
        <w:rPr>
          <w:rFonts w:hint="eastAsia"/>
          <w:color w:val="000000" w:themeColor="text1"/>
          <w14:textFill>
            <w14:solidFill>
              <w14:schemeClr w14:val="tx1"/>
            </w14:solidFill>
          </w14:textFill>
        </w:rPr>
        <w:t>建筑主要功能房间外窗采取合理的外遮阳设施，得1分。</w:t>
      </w:r>
    </w:p>
    <w:p w14:paraId="20799F52">
      <w:pPr>
        <w:pStyle w:val="66"/>
        <w:spacing w:before="156" w:after="156"/>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 xml:space="preserve">供暖空调  </w:t>
      </w:r>
    </w:p>
    <w:p w14:paraId="2CBADBD9">
      <w:pPr>
        <w:pStyle w:val="165"/>
        <w:rPr>
          <w:szCs w:val="21"/>
        </w:rPr>
      </w:pPr>
      <w:r>
        <w:rPr>
          <w:rFonts w:hint="eastAsia"/>
        </w:rPr>
        <w:t>采用合理的热源方式，并配备必要的热计量和室内温度调控装置，评价总分值为2分，并按下列规则分别评分并累计：</w:t>
      </w:r>
    </w:p>
    <w:p w14:paraId="7BCEB8F4">
      <w:pPr>
        <w:pStyle w:val="175"/>
        <w:numPr>
          <w:ilvl w:val="0"/>
          <w:numId w:val="35"/>
        </w:numPr>
        <w:rPr>
          <w:kern w:val="2"/>
          <w:szCs w:val="21"/>
        </w:rPr>
      </w:pPr>
      <w:r>
        <w:rPr>
          <w:rFonts w:hint="eastAsia"/>
        </w:rPr>
        <w:t>采用燃气锅炉、热泵等自备热源，名义工况下机组效率应符合</w:t>
      </w:r>
      <w:r>
        <w:rPr>
          <w:rFonts w:hint="eastAsia"/>
          <w:color w:val="000000" w:themeColor="text1"/>
          <w14:textFill>
            <w14:solidFill>
              <w14:schemeClr w14:val="tx1"/>
            </w14:solidFill>
          </w14:textFill>
        </w:rPr>
        <w:t>DB13（J)/T 8543</w:t>
      </w:r>
      <w:r>
        <w:rPr>
          <w:rFonts w:hint="eastAsia"/>
        </w:rPr>
        <w:t>与GB 55015的要求，或采用市政集中供热，得1分；</w:t>
      </w:r>
    </w:p>
    <w:p w14:paraId="256FC5CF">
      <w:pPr>
        <w:pStyle w:val="175"/>
      </w:pPr>
      <w:r>
        <w:rPr>
          <w:rFonts w:hint="eastAsia"/>
        </w:rPr>
        <w:t>自备热源配备节能调控和计量装置，或市政集中供热配备热计量装置，得0.5分；</w:t>
      </w:r>
    </w:p>
    <w:p w14:paraId="2DEC0BE1">
      <w:pPr>
        <w:pStyle w:val="175"/>
      </w:pPr>
      <w:r>
        <w:rPr>
          <w:rFonts w:hint="eastAsia"/>
        </w:rPr>
        <w:t>供暖末端设置温度控制装置控制房间温度，得0.5分。</w:t>
      </w:r>
    </w:p>
    <w:p w14:paraId="04E2C852">
      <w:pPr>
        <w:pStyle w:val="165"/>
        <w:rPr>
          <w:rFonts w:ascii="Times New Roman"/>
          <w:szCs w:val="21"/>
        </w:rPr>
      </w:pPr>
      <w:r>
        <w:t>采用合理的冷源方式，并配备必要的计量和末端调控装置，</w:t>
      </w:r>
      <w:r>
        <w:rPr>
          <w:rFonts w:hint="eastAsia"/>
        </w:rPr>
        <w:t>评价总分值为</w:t>
      </w:r>
      <w:r>
        <w:rPr>
          <w:rFonts w:hint="eastAsia" w:ascii="Times New Roman"/>
        </w:rPr>
        <w:t>2</w:t>
      </w:r>
      <w:r>
        <w:t>分</w:t>
      </w:r>
      <w:r>
        <w:rPr>
          <w:rFonts w:hint="eastAsia"/>
        </w:rPr>
        <w:t>，并按下列</w:t>
      </w:r>
      <w:r>
        <w:t>规则</w:t>
      </w:r>
      <w:r>
        <w:rPr>
          <w:rFonts w:hint="eastAsia"/>
        </w:rPr>
        <w:t>分别</w:t>
      </w:r>
      <w:r>
        <w:t>评分</w:t>
      </w:r>
      <w:r>
        <w:rPr>
          <w:rFonts w:hint="eastAsia"/>
        </w:rPr>
        <w:t>并累计</w:t>
      </w:r>
      <w:r>
        <w:t>：</w:t>
      </w:r>
    </w:p>
    <w:p w14:paraId="4BAFE31B">
      <w:pPr>
        <w:pStyle w:val="175"/>
        <w:numPr>
          <w:ilvl w:val="0"/>
          <w:numId w:val="36"/>
        </w:numPr>
        <w:rPr>
          <w:kern w:val="2"/>
          <w:szCs w:val="21"/>
        </w:rPr>
      </w:pPr>
      <w:r>
        <w:rPr>
          <w:rFonts w:hint="eastAsia"/>
        </w:rPr>
        <w:t>空调冷源能效等级符合</w:t>
      </w:r>
      <w:r>
        <w:rPr>
          <w:rFonts w:hint="eastAsia"/>
          <w:color w:val="000000" w:themeColor="text1"/>
          <w14:textFill>
            <w14:solidFill>
              <w14:schemeClr w14:val="tx1"/>
            </w14:solidFill>
          </w14:textFill>
        </w:rPr>
        <w:t>DB13（J)/T 8543</w:t>
      </w:r>
      <w:r>
        <w:rPr>
          <w:rFonts w:hint="eastAsia"/>
        </w:rPr>
        <w:t>与GB 55015的要求，得1分；</w:t>
      </w:r>
    </w:p>
    <w:p w14:paraId="79F7EF78">
      <w:pPr>
        <w:pStyle w:val="175"/>
      </w:pPr>
      <w:r>
        <w:rPr>
          <w:rFonts w:hint="eastAsia"/>
        </w:rPr>
        <w:t>冷源及输配系统配备负荷自动调控装置，得0.5分；</w:t>
      </w:r>
    </w:p>
    <w:p w14:paraId="0EBD2BED">
      <w:pPr>
        <w:pStyle w:val="175"/>
      </w:pPr>
      <w:r>
        <w:rPr>
          <w:rFonts w:hint="eastAsia"/>
        </w:rPr>
        <w:t>主要功能房间设置温控装置控制房间温度，得0.5分。</w:t>
      </w:r>
    </w:p>
    <w:p w14:paraId="0B8169CF">
      <w:pPr>
        <w:pStyle w:val="165"/>
        <w:rPr>
          <w:rFonts w:ascii="Times New Roman"/>
          <w:szCs w:val="21"/>
        </w:rPr>
      </w:pPr>
      <w:r>
        <w:rPr>
          <w:rFonts w:hint="eastAsia"/>
        </w:rPr>
        <w:t>公共</w:t>
      </w:r>
      <w:r>
        <w:t>区域用能采用分时段供热、供冷模式自动调节等智能控制，</w:t>
      </w:r>
      <w:r>
        <w:rPr>
          <w:rFonts w:hint="eastAsia"/>
        </w:rPr>
        <w:t>得</w:t>
      </w:r>
      <w:r>
        <w:rPr>
          <w:rFonts w:ascii="Times New Roman"/>
        </w:rPr>
        <w:t>1</w:t>
      </w:r>
      <w:r>
        <w:t>分</w:t>
      </w:r>
      <w:r>
        <w:rPr>
          <w:rFonts w:hint="eastAsia"/>
        </w:rPr>
        <w:t>。</w:t>
      </w:r>
    </w:p>
    <w:p w14:paraId="2AF67BA1">
      <w:pPr>
        <w:pStyle w:val="165"/>
        <w:rPr>
          <w:rFonts w:ascii="Times New Roman"/>
        </w:rPr>
      </w:pPr>
      <w:r>
        <w:t>采用</w:t>
      </w:r>
      <w:r>
        <w:rPr>
          <w:rFonts w:hint="eastAsia"/>
        </w:rPr>
        <w:t>排风</w:t>
      </w:r>
      <w:r>
        <w:t>热回收</w:t>
      </w:r>
      <w:r>
        <w:rPr>
          <w:rFonts w:hint="eastAsia"/>
        </w:rPr>
        <w:t>装置</w:t>
      </w:r>
      <w:r>
        <w:t>，回收热效率不低</w:t>
      </w:r>
      <w:r>
        <w:rPr>
          <w:rFonts w:hint="eastAsia" w:ascii="Times New Roman"/>
        </w:rPr>
        <w:t>60%</w:t>
      </w:r>
      <w:r>
        <w:rPr>
          <w:rFonts w:hint="eastAsia"/>
        </w:rPr>
        <w:t>，且正常运行，得</w:t>
      </w:r>
      <w:r>
        <w:rPr>
          <w:rFonts w:ascii="Times New Roman"/>
        </w:rPr>
        <w:t>1</w:t>
      </w:r>
      <w:r>
        <w:t>分</w:t>
      </w:r>
      <w:r>
        <w:rPr>
          <w:rFonts w:hint="eastAsia"/>
        </w:rPr>
        <w:t>。</w:t>
      </w:r>
    </w:p>
    <w:p w14:paraId="1CB494BD">
      <w:pPr>
        <w:pStyle w:val="66"/>
        <w:spacing w:before="156" w:after="156"/>
        <w:rPr>
          <w:kern w:val="2"/>
          <w:szCs w:val="21"/>
        </w:rPr>
      </w:pPr>
      <w:r>
        <w:t>给水排水</w:t>
      </w:r>
      <w:r>
        <w:rPr>
          <w:rFonts w:hint="eastAsia" w:hAnsi="黑体"/>
        </w:rPr>
        <w:t xml:space="preserve"> </w:t>
      </w:r>
    </w:p>
    <w:p w14:paraId="0EAFC635">
      <w:pPr>
        <w:pStyle w:val="165"/>
        <w:rPr>
          <w:rFonts w:ascii="Times New Roman"/>
          <w:szCs w:val="21"/>
        </w:rPr>
      </w:pPr>
      <w:r>
        <w:t>设置用水计量装置，评价总分值为</w:t>
      </w:r>
      <w:r>
        <w:rPr>
          <w:rFonts w:hint="eastAsia" w:ascii="Times New Roman"/>
        </w:rPr>
        <w:t>3</w:t>
      </w:r>
      <w:r>
        <w:t>分，并按下列规则分别评分并累计：</w:t>
      </w:r>
    </w:p>
    <w:p w14:paraId="0564B82D">
      <w:pPr>
        <w:pStyle w:val="175"/>
        <w:numPr>
          <w:ilvl w:val="0"/>
          <w:numId w:val="37"/>
        </w:numPr>
        <w:rPr>
          <w:kern w:val="2"/>
          <w:szCs w:val="21"/>
        </w:rPr>
      </w:pPr>
      <w:r>
        <w:rPr>
          <w:rFonts w:hint="eastAsia"/>
        </w:rPr>
        <w:t>按付费或管理单元，分别设置用水计量装置，得0.5分；</w:t>
      </w:r>
    </w:p>
    <w:p w14:paraId="07373CD8">
      <w:pPr>
        <w:pStyle w:val="175"/>
      </w:pPr>
      <w:r>
        <w:rPr>
          <w:rFonts w:hint="eastAsia"/>
        </w:rPr>
        <w:t>按使用用途，对供暖空调系统、冷却塔、食堂、公共浴池、游泳池、二次加压供水系统水箱（池）、绿化灌溉等特殊部位用水设置计量水表，每设置1项得0.5分，最高得1.5分；</w:t>
      </w:r>
    </w:p>
    <w:p w14:paraId="2A6ACF54">
      <w:pPr>
        <w:pStyle w:val="175"/>
      </w:pPr>
      <w:r>
        <w:rPr>
          <w:rFonts w:hint="eastAsia"/>
        </w:rPr>
        <w:t>设置具备远传功能的数字水表，得1分。</w:t>
      </w:r>
    </w:p>
    <w:p w14:paraId="7B407A9B">
      <w:pPr>
        <w:pStyle w:val="165"/>
        <w:rPr>
          <w:rFonts w:ascii="Times New Roman"/>
          <w:szCs w:val="21"/>
        </w:rPr>
      </w:pPr>
      <w:r>
        <w:t>使用</w:t>
      </w:r>
      <w:r>
        <w:rPr>
          <w:rFonts w:hint="eastAsia"/>
        </w:rPr>
        <w:t>节水型</w:t>
      </w:r>
      <w:r>
        <w:t>卫生器具，评价总分值为</w:t>
      </w:r>
      <w:r>
        <w:rPr>
          <w:rFonts w:hint="eastAsia" w:ascii="Times New Roman"/>
        </w:rPr>
        <w:t>2</w:t>
      </w:r>
      <w:r>
        <w:t>分，并按下列规则评分：</w:t>
      </w:r>
    </w:p>
    <w:p w14:paraId="1C4FBF0B">
      <w:pPr>
        <w:pStyle w:val="175"/>
        <w:numPr>
          <w:ilvl w:val="0"/>
          <w:numId w:val="38"/>
        </w:numPr>
        <w:rPr>
          <w:kern w:val="2"/>
          <w:szCs w:val="21"/>
        </w:rPr>
      </w:pPr>
      <w:r>
        <w:rPr>
          <w:rFonts w:hint="eastAsia"/>
        </w:rPr>
        <w:t>用水效率等级达到3级，得1分；</w:t>
      </w:r>
    </w:p>
    <w:p w14:paraId="075A3C48">
      <w:pPr>
        <w:pStyle w:val="175"/>
      </w:pPr>
      <w:r>
        <w:rPr>
          <w:rFonts w:hint="eastAsia"/>
        </w:rPr>
        <w:t>用水效率等级达到2级及以上，得2分。</w:t>
      </w:r>
    </w:p>
    <w:p w14:paraId="1F551C04">
      <w:pPr>
        <w:pStyle w:val="165"/>
        <w:rPr>
          <w:rFonts w:ascii="Times New Roman"/>
          <w:szCs w:val="21"/>
        </w:rPr>
      </w:pPr>
      <w:r>
        <w:rPr>
          <w:rFonts w:hint="eastAsia"/>
        </w:rPr>
        <w:t>卫生器具和地漏均合理设置水封，得</w:t>
      </w:r>
      <w:r>
        <w:rPr>
          <w:rFonts w:hint="eastAsia" w:ascii="Times New Roman"/>
        </w:rPr>
        <w:t>1</w:t>
      </w:r>
      <w:r>
        <w:rPr>
          <w:rFonts w:hint="eastAsia"/>
        </w:rPr>
        <w:t>分。</w:t>
      </w:r>
    </w:p>
    <w:p w14:paraId="5DCF5E4A">
      <w:pPr>
        <w:pStyle w:val="165"/>
        <w:rPr>
          <w:rFonts w:ascii="Times New Roman"/>
        </w:rPr>
      </w:pPr>
      <w:r>
        <w:t>绿化灌溉采取节水灌溉方式，得</w:t>
      </w:r>
      <w:r>
        <w:rPr>
          <w:rFonts w:hint="eastAsia" w:ascii="Times New Roman"/>
        </w:rPr>
        <w:t>2</w:t>
      </w:r>
      <w:r>
        <w:t>分</w:t>
      </w:r>
      <w:r>
        <w:rPr>
          <w:rFonts w:hint="eastAsia"/>
        </w:rPr>
        <w:t>。</w:t>
      </w:r>
    </w:p>
    <w:p w14:paraId="2A5704A8">
      <w:pPr>
        <w:pStyle w:val="66"/>
        <w:spacing w:before="156" w:after="156"/>
        <w:rPr>
          <w:szCs w:val="21"/>
        </w:rPr>
      </w:pPr>
      <w:r>
        <w:rPr>
          <w:rFonts w:hint="eastAsia"/>
        </w:rPr>
        <w:t xml:space="preserve">照明与电气 </w:t>
      </w:r>
    </w:p>
    <w:p w14:paraId="3FB69EE4">
      <w:pPr>
        <w:pStyle w:val="165"/>
        <w:rPr>
          <w:rFonts w:ascii="Times New Roman"/>
          <w:szCs w:val="21"/>
        </w:rPr>
      </w:pPr>
      <w:r>
        <w:rPr>
          <w:rFonts w:hint="eastAsia"/>
        </w:rPr>
        <w:t>采用高效节能照明光源产品，</w:t>
      </w:r>
      <w:r>
        <w:rPr>
          <w:rFonts w:hint="eastAsia"/>
          <w:color w:val="000000" w:themeColor="text1"/>
          <w14:textFill>
            <w14:solidFill>
              <w14:schemeClr w14:val="tx1"/>
            </w14:solidFill>
          </w14:textFill>
        </w:rPr>
        <w:t>产品能效等级达到</w:t>
      </w:r>
      <w:r>
        <w:rPr>
          <w:rFonts w:hint="eastAsia" w:asci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级</w:t>
      </w:r>
      <w:r>
        <w:rPr>
          <w:rFonts w:hint="eastAsia"/>
        </w:rPr>
        <w:t>及以上，得</w:t>
      </w:r>
      <w:r>
        <w:rPr>
          <w:rFonts w:hint="eastAsia" w:ascii="Times New Roman"/>
        </w:rPr>
        <w:t>1</w:t>
      </w:r>
      <w:r>
        <w:rPr>
          <w:rFonts w:hint="eastAsia"/>
        </w:rPr>
        <w:t>分。</w:t>
      </w:r>
    </w:p>
    <w:p w14:paraId="27189470">
      <w:pPr>
        <w:pStyle w:val="165"/>
        <w:rPr>
          <w:rFonts w:ascii="Times New Roman"/>
        </w:rPr>
      </w:pPr>
      <w:r>
        <w:t>按使用条件和天然采光状况采取照明节能</w:t>
      </w:r>
      <w:r>
        <w:rPr>
          <w:rFonts w:hint="eastAsia"/>
        </w:rPr>
        <w:t>控制</w:t>
      </w:r>
      <w:r>
        <w:t>措施，评价总分值为</w:t>
      </w:r>
      <w:r>
        <w:rPr>
          <w:rFonts w:hint="eastAsia" w:ascii="Times New Roman"/>
        </w:rPr>
        <w:t>1.5</w:t>
      </w:r>
      <w:r>
        <w:t>分，并按下列规则</w:t>
      </w:r>
      <w:r>
        <w:rPr>
          <w:rFonts w:hint="eastAsia"/>
        </w:rPr>
        <w:t>分别</w:t>
      </w:r>
      <w:r>
        <w:t>评分</w:t>
      </w:r>
      <w:r>
        <w:rPr>
          <w:rFonts w:hint="eastAsia"/>
        </w:rPr>
        <w:t>并累计</w:t>
      </w:r>
      <w:r>
        <w:t>：</w:t>
      </w:r>
    </w:p>
    <w:p w14:paraId="3E11B27B">
      <w:pPr>
        <w:pStyle w:val="175"/>
        <w:numPr>
          <w:ilvl w:val="0"/>
          <w:numId w:val="39"/>
        </w:numPr>
        <w:rPr>
          <w:kern w:val="2"/>
          <w:szCs w:val="21"/>
        </w:rPr>
      </w:pPr>
      <w:r>
        <w:rPr>
          <w:rFonts w:hint="eastAsia"/>
        </w:rPr>
        <w:t>主要功能空间、地下车库照明采用分区、分组控制，得0.5分；</w:t>
      </w:r>
    </w:p>
    <w:p w14:paraId="10ABB3AE">
      <w:pPr>
        <w:pStyle w:val="175"/>
      </w:pPr>
      <w:r>
        <w:rPr>
          <w:rFonts w:hint="eastAsia"/>
        </w:rPr>
        <w:t>公共走道、楼梯间等公共区域采用分时分区控制、声光感应控制等智能控制措施，得0.5分；</w:t>
      </w:r>
    </w:p>
    <w:p w14:paraId="3F0863E4">
      <w:pPr>
        <w:pStyle w:val="175"/>
      </w:pPr>
      <w:r>
        <w:rPr>
          <w:rFonts w:hint="eastAsia"/>
        </w:rPr>
        <w:t>夜景照明采用定时、感光等照明控制措施，得0.5分。</w:t>
      </w:r>
    </w:p>
    <w:p w14:paraId="1BA2393B">
      <w:pPr>
        <w:pStyle w:val="165"/>
        <w:rPr>
          <w:rFonts w:ascii="Times New Roman"/>
          <w:szCs w:val="21"/>
        </w:rPr>
      </w:pPr>
      <w:r>
        <w:t>电梯采</w:t>
      </w:r>
      <w:r>
        <w:rPr>
          <w:kern w:val="2"/>
        </w:rPr>
        <w:t>用节能措施，</w:t>
      </w:r>
      <w:r>
        <w:t>评价总分值为</w:t>
      </w:r>
      <w:r>
        <w:rPr>
          <w:rFonts w:hint="eastAsia" w:ascii="Times New Roman"/>
        </w:rPr>
        <w:t>1.5</w:t>
      </w:r>
      <w:r>
        <w:t>分，并按下列规则</w:t>
      </w:r>
      <w:r>
        <w:rPr>
          <w:rFonts w:hint="eastAsia"/>
        </w:rPr>
        <w:t>分别</w:t>
      </w:r>
      <w:r>
        <w:t>评分</w:t>
      </w:r>
      <w:r>
        <w:rPr>
          <w:rFonts w:hint="eastAsia"/>
        </w:rPr>
        <w:t>并累计</w:t>
      </w:r>
      <w:r>
        <w:t>：</w:t>
      </w:r>
    </w:p>
    <w:p w14:paraId="24F28D1A">
      <w:pPr>
        <w:pStyle w:val="175"/>
        <w:numPr>
          <w:ilvl w:val="0"/>
          <w:numId w:val="40"/>
        </w:numPr>
        <w:rPr>
          <w:kern w:val="2"/>
          <w:szCs w:val="21"/>
        </w:rPr>
      </w:pPr>
      <w:r>
        <w:rPr>
          <w:rFonts w:hint="eastAsia"/>
        </w:rPr>
        <w:t>当2台及以上的电梯集中布置时，系统具备按程序群控或集中调控的功能，得1分；</w:t>
      </w:r>
    </w:p>
    <w:p w14:paraId="5B0D7ADD">
      <w:pPr>
        <w:pStyle w:val="175"/>
      </w:pPr>
      <w:r>
        <w:rPr>
          <w:rFonts w:hint="eastAsia"/>
        </w:rPr>
        <w:t>使用具备空载时暂停或低速运转功能的节能型产品，得0.5分。</w:t>
      </w:r>
    </w:p>
    <w:p w14:paraId="779750D8">
      <w:pPr>
        <w:pStyle w:val="165"/>
        <w:rPr>
          <w:rFonts w:ascii="Times New Roman"/>
          <w:szCs w:val="21"/>
        </w:rPr>
      </w:pPr>
      <w:r>
        <w:t>根据用能种类、用能系统合理实行能源分类、分项计量，评价总分值为</w:t>
      </w:r>
      <w:r>
        <w:rPr>
          <w:rFonts w:hint="eastAsia" w:ascii="Times New Roman"/>
        </w:rPr>
        <w:t>2</w:t>
      </w:r>
      <w:r>
        <w:t>分，并按下列规则</w:t>
      </w:r>
      <w:r>
        <w:rPr>
          <w:rFonts w:hint="eastAsia"/>
        </w:rPr>
        <w:t>分别</w:t>
      </w:r>
      <w:r>
        <w:t>评分</w:t>
      </w:r>
      <w:r>
        <w:rPr>
          <w:rFonts w:hint="eastAsia"/>
        </w:rPr>
        <w:t>并累计</w:t>
      </w:r>
      <w:r>
        <w:t>：</w:t>
      </w:r>
    </w:p>
    <w:p w14:paraId="50DDC9F6">
      <w:pPr>
        <w:pStyle w:val="175"/>
        <w:numPr>
          <w:ilvl w:val="0"/>
          <w:numId w:val="41"/>
        </w:numPr>
      </w:pPr>
      <w:r>
        <w:rPr>
          <w:rFonts w:hint="eastAsia"/>
        </w:rPr>
        <w:t>实现用电消耗分管理单元或楼栋计量，得0.5分；</w:t>
      </w:r>
    </w:p>
    <w:p w14:paraId="01BA5BD7">
      <w:pPr>
        <w:pStyle w:val="175"/>
      </w:pPr>
      <w:r>
        <w:rPr>
          <w:rFonts w:hint="eastAsia"/>
        </w:rPr>
        <w:t>对用电进行分项计量，包括对中央空调用电、动力用电、照明和插座用电、数据中心机房等主要用途分项计量，每设置一项得0.5分，最高得1.5分。</w:t>
      </w:r>
    </w:p>
    <w:p w14:paraId="51089D66">
      <w:pPr>
        <w:pStyle w:val="165"/>
        <w:rPr>
          <w:rFonts w:ascii="Times New Roman"/>
          <w:szCs w:val="21"/>
        </w:rPr>
      </w:pPr>
      <w:r>
        <w:rPr>
          <w:rFonts w:hint="eastAsia"/>
        </w:rPr>
        <w:t>办公电器、电热水器、水泵、风机、变压器等主</w:t>
      </w:r>
      <w:r>
        <w:rPr>
          <w:rFonts w:hint="eastAsia"/>
          <w:color w:val="000000" w:themeColor="text1"/>
          <w14:textFill>
            <w14:solidFill>
              <w14:schemeClr w14:val="tx1"/>
            </w14:solidFill>
          </w14:textFill>
        </w:rPr>
        <w:t>要设备能效等级达到2级</w:t>
      </w:r>
      <w:r>
        <w:rPr>
          <w:rFonts w:hint="eastAsia"/>
        </w:rPr>
        <w:t>及以上，每项得0.5分，最高得1.5分。</w:t>
      </w:r>
    </w:p>
    <w:p w14:paraId="341150DA">
      <w:pPr>
        <w:pStyle w:val="165"/>
        <w:rPr>
          <w:rFonts w:ascii="Times New Roman"/>
        </w:rPr>
      </w:pPr>
      <w:r>
        <w:t>指挥中心、数据机房采用节能设备及措施，评价总分值为</w:t>
      </w:r>
      <w:r>
        <w:rPr>
          <w:rFonts w:hint="eastAsia" w:ascii="Times New Roman"/>
        </w:rPr>
        <w:t>1.5</w:t>
      </w:r>
      <w:r>
        <w:t>分，并按下列规则分别评分并累计：</w:t>
      </w:r>
    </w:p>
    <w:p w14:paraId="6862852A">
      <w:pPr>
        <w:pStyle w:val="175"/>
        <w:numPr>
          <w:ilvl w:val="0"/>
          <w:numId w:val="42"/>
        </w:numPr>
      </w:pPr>
      <w:r>
        <w:rPr>
          <w:rFonts w:hint="eastAsia"/>
        </w:rPr>
        <w:t>信息技术系统、制冷、照明和电气等</w:t>
      </w:r>
      <w:r>
        <w:rPr>
          <w:rFonts w:hint="eastAsia"/>
          <w:color w:val="000000" w:themeColor="text1"/>
          <w14:textFill>
            <w14:solidFill>
              <w14:schemeClr w14:val="tx1"/>
            </w14:solidFill>
          </w14:textFill>
        </w:rPr>
        <w:t>采用节能设备</w:t>
      </w:r>
      <w:r>
        <w:rPr>
          <w:rFonts w:hint="eastAsia"/>
        </w:rPr>
        <w:t>，得0.5分；</w:t>
      </w:r>
    </w:p>
    <w:p w14:paraId="46ECDADF">
      <w:pPr>
        <w:pStyle w:val="175"/>
      </w:pPr>
      <w:r>
        <w:rPr>
          <w:rFonts w:hint="eastAsia"/>
        </w:rPr>
        <w:t>信息技术设备、空调、照明及附属设备用电量分项计量，得1分。</w:t>
      </w:r>
    </w:p>
    <w:p w14:paraId="78738678">
      <w:pPr>
        <w:pStyle w:val="165"/>
        <w:rPr>
          <w:szCs w:val="21"/>
        </w:rPr>
      </w:pPr>
      <w:r>
        <w:rPr>
          <w:rFonts w:hint="eastAsia"/>
        </w:rPr>
        <w:t>采用节能炉灶、节水型洗菜机、高效油烟净化设备等节能环保餐饮设备，每项得0.5分，最高得1分。</w:t>
      </w:r>
    </w:p>
    <w:p w14:paraId="4918314D">
      <w:pPr>
        <w:pStyle w:val="66"/>
        <w:spacing w:before="156" w:after="156"/>
        <w:rPr>
          <w:szCs w:val="21"/>
        </w:rPr>
      </w:pPr>
      <w:r>
        <w:rPr>
          <w:rFonts w:hint="eastAsia"/>
        </w:rPr>
        <w:t xml:space="preserve">室内外环境  </w:t>
      </w:r>
    </w:p>
    <w:p w14:paraId="168A81DD">
      <w:pPr>
        <w:pStyle w:val="165"/>
        <w:rPr>
          <w:rFonts w:ascii="Times New Roman"/>
          <w:szCs w:val="21"/>
        </w:rPr>
      </w:pPr>
      <w:r>
        <w:t>室内空气中的氨、甲醛、苯、总挥发性有机物、氡等污染物浓度符合</w:t>
      </w:r>
      <w:r>
        <w:rPr>
          <w:rFonts w:ascii="Times New Roman"/>
        </w:rPr>
        <w:t>GB/T 18883</w:t>
      </w:r>
      <w:r>
        <w:t>的有关规定，得</w:t>
      </w:r>
      <w:r>
        <w:rPr>
          <w:rFonts w:hint="eastAsia" w:ascii="Times New Roman"/>
        </w:rPr>
        <w:t>1</w:t>
      </w:r>
      <w:r>
        <w:t>分。</w:t>
      </w:r>
    </w:p>
    <w:p w14:paraId="1AE1F6A6">
      <w:pPr>
        <w:pStyle w:val="165"/>
        <w:rPr>
          <w:rFonts w:ascii="Times New Roman"/>
        </w:rPr>
      </w:pPr>
      <w:r>
        <w:t>主要功能房间室内噪声级达到</w:t>
      </w:r>
      <w:r>
        <w:rPr>
          <w:rFonts w:ascii="Times New Roman"/>
        </w:rPr>
        <w:t>GB 50118</w:t>
      </w:r>
      <w:r>
        <w:t>中的低限标准限值和高要求标准限值的平均值，得</w:t>
      </w:r>
      <w:r>
        <w:rPr>
          <w:rFonts w:hint="eastAsia" w:ascii="Times New Roman"/>
        </w:rPr>
        <w:t>0.5</w:t>
      </w:r>
      <w:r>
        <w:t>分；达到高要求标准限值，得</w:t>
      </w:r>
      <w:r>
        <w:rPr>
          <w:rFonts w:hint="eastAsia" w:ascii="Times New Roman"/>
        </w:rPr>
        <w:t>1</w:t>
      </w:r>
      <w:r>
        <w:t>分。</w:t>
      </w:r>
    </w:p>
    <w:p w14:paraId="384778E4">
      <w:pPr>
        <w:pStyle w:val="165"/>
      </w:pPr>
      <w:r>
        <w:rPr>
          <w:rFonts w:hint="eastAsia"/>
        </w:rPr>
        <w:t>主要功能房间有良好的自然采光和自然通风条件，评价总分值为1分，并按下列规则分别评分并累计：</w:t>
      </w:r>
    </w:p>
    <w:p w14:paraId="787C192C">
      <w:pPr>
        <w:pStyle w:val="175"/>
        <w:numPr>
          <w:ilvl w:val="0"/>
          <w:numId w:val="43"/>
        </w:numPr>
        <w:rPr>
          <w:kern w:val="2"/>
          <w:szCs w:val="21"/>
        </w:rPr>
      </w:pPr>
      <w:r>
        <w:rPr>
          <w:rFonts w:hint="eastAsia"/>
        </w:rPr>
        <w:t>采光窗与房间地面面积比不低于1/5，得0.5分；</w:t>
      </w:r>
    </w:p>
    <w:p w14:paraId="046A3E7D">
      <w:pPr>
        <w:pStyle w:val="175"/>
      </w:pPr>
      <w:r>
        <w:rPr>
          <w:rFonts w:hint="eastAsia"/>
        </w:rPr>
        <w:t>自然通风开口面积与房间地面面积比不低于5%或具备新风系统，得0.5分。</w:t>
      </w:r>
    </w:p>
    <w:p w14:paraId="28DC6C43">
      <w:pPr>
        <w:pStyle w:val="165"/>
        <w:rPr>
          <w:szCs w:val="21"/>
        </w:rPr>
      </w:pPr>
      <w:r>
        <w:rPr>
          <w:rFonts w:hint="eastAsia"/>
        </w:rPr>
        <w:t>场地出入口到达公共汽车站的距离不大于500 m或到达轨道交通站的步行距离不大于800 m；或当场地不能满足上述条件时，采用接驳车等方式方便使用者到达公共汽车站或轨道交通站，得0.5分。</w:t>
      </w:r>
    </w:p>
    <w:p w14:paraId="74B0B142">
      <w:pPr>
        <w:pStyle w:val="165"/>
        <w:rPr>
          <w:rFonts w:ascii="Times New Roman"/>
        </w:rPr>
      </w:pPr>
      <w:r>
        <w:t>合理设置停车场所，评价总分值为</w:t>
      </w:r>
      <w:r>
        <w:rPr>
          <w:rFonts w:hint="eastAsia" w:ascii="Times New Roman"/>
        </w:rPr>
        <w:t>1.5</w:t>
      </w:r>
      <w:r>
        <w:t>分，并按下列规则分别评分并累计：</w:t>
      </w:r>
    </w:p>
    <w:p w14:paraId="34CFE7A2">
      <w:pPr>
        <w:pStyle w:val="175"/>
        <w:numPr>
          <w:ilvl w:val="0"/>
          <w:numId w:val="44"/>
        </w:numPr>
        <w:rPr>
          <w:kern w:val="2"/>
          <w:szCs w:val="21"/>
        </w:rPr>
      </w:pPr>
      <w:r>
        <w:rPr>
          <w:rFonts w:hint="eastAsia"/>
        </w:rPr>
        <w:t>非机动车停车有遮阳防雨措施，并设有电动自行车充电装置，得0.5分；</w:t>
      </w:r>
    </w:p>
    <w:p w14:paraId="7B5A6AD6">
      <w:pPr>
        <w:pStyle w:val="175"/>
      </w:pPr>
      <w:r>
        <w:rPr>
          <w:rFonts w:hint="eastAsia"/>
        </w:rPr>
        <w:t>场地内采取人车分流措施，得0.5分；</w:t>
      </w:r>
    </w:p>
    <w:p w14:paraId="6ABB5579">
      <w:pPr>
        <w:pStyle w:val="175"/>
      </w:pPr>
      <w:r>
        <w:rPr>
          <w:rFonts w:hint="eastAsia"/>
        </w:rPr>
        <w:t>合理设置机动车停车设施，并采取下列措施中至少1项，得0.5分：</w:t>
      </w:r>
    </w:p>
    <w:p w14:paraId="7B8F4BA3">
      <w:pPr>
        <w:pStyle w:val="188"/>
        <w:rPr>
          <w:kern w:val="2"/>
          <w:szCs w:val="21"/>
        </w:rPr>
      </w:pPr>
      <w:r>
        <w:rPr>
          <w:rFonts w:hint="eastAsia"/>
        </w:rPr>
        <w:t>采用机械式停车库、地下停车库或停车楼等方式；</w:t>
      </w:r>
    </w:p>
    <w:p w14:paraId="56A1D155">
      <w:pPr>
        <w:pStyle w:val="188"/>
      </w:pPr>
      <w:r>
        <w:rPr>
          <w:rFonts w:hint="eastAsia"/>
        </w:rPr>
        <w:t>合理布置地面停车位，不挤占步行及活动空间。</w:t>
      </w:r>
    </w:p>
    <w:p w14:paraId="21CEBAC7">
      <w:pPr>
        <w:pStyle w:val="165"/>
        <w:rPr>
          <w:rFonts w:ascii="Times New Roman"/>
          <w:szCs w:val="21"/>
        </w:rPr>
      </w:pPr>
      <w:r>
        <w:t>室外场地</w:t>
      </w:r>
      <w:r>
        <w:rPr>
          <w:rFonts w:hint="eastAsia"/>
        </w:rPr>
        <w:t>及</w:t>
      </w:r>
      <w:r>
        <w:t>建筑出入口设置有连贯的无障碍步行系统，得</w:t>
      </w:r>
      <w:r>
        <w:rPr>
          <w:rFonts w:hint="eastAsia" w:ascii="Times New Roman"/>
        </w:rPr>
        <w:t>0.5</w:t>
      </w:r>
      <w:r>
        <w:t>分。</w:t>
      </w:r>
    </w:p>
    <w:p w14:paraId="386CA8F3">
      <w:pPr>
        <w:pStyle w:val="165"/>
        <w:rPr>
          <w:rFonts w:ascii="Times New Roman"/>
        </w:rPr>
      </w:pPr>
      <w:r>
        <w:t>具有安全防护的警示和引导标识系统，如车辆引导、无障碍引导、公共卫生间引导、防滑标识</w:t>
      </w:r>
      <w:r>
        <w:rPr>
          <w:rFonts w:hint="eastAsia"/>
        </w:rPr>
        <w:t>、安全警示标识</w:t>
      </w:r>
      <w:r>
        <w:t>等，每设置一项得</w:t>
      </w:r>
      <w:r>
        <w:rPr>
          <w:rFonts w:ascii="Times New Roman"/>
        </w:rPr>
        <w:t>0.</w:t>
      </w:r>
      <w:r>
        <w:rPr>
          <w:rFonts w:hint="eastAsia" w:ascii="Times New Roman"/>
        </w:rPr>
        <w:t>3</w:t>
      </w:r>
      <w:r>
        <w:t>分，最高得</w:t>
      </w:r>
      <w:r>
        <w:rPr>
          <w:rFonts w:hint="eastAsia" w:ascii="Times New Roman"/>
        </w:rPr>
        <w:t>1.5</w:t>
      </w:r>
      <w:r>
        <w:t>分。</w:t>
      </w:r>
    </w:p>
    <w:p w14:paraId="33A13765">
      <w:pPr>
        <w:pStyle w:val="165"/>
        <w:rPr>
          <w:rFonts w:ascii="Times New Roman"/>
        </w:rPr>
      </w:pPr>
      <w:r>
        <w:t>设置绿色雨水基础设施，评价总分值为</w:t>
      </w:r>
      <w:r>
        <w:rPr>
          <w:rFonts w:hint="eastAsia" w:ascii="Times New Roman"/>
        </w:rPr>
        <w:t>1</w:t>
      </w:r>
      <w:r>
        <w:t>分，并按下列规则分别评分并累计：</w:t>
      </w:r>
    </w:p>
    <w:p w14:paraId="183FBAA5">
      <w:pPr>
        <w:pStyle w:val="175"/>
        <w:numPr>
          <w:ilvl w:val="0"/>
          <w:numId w:val="45"/>
        </w:numPr>
        <w:rPr>
          <w:kern w:val="2"/>
          <w:szCs w:val="21"/>
        </w:rPr>
      </w:pPr>
      <w:r>
        <w:rPr>
          <w:rFonts w:hint="eastAsia"/>
        </w:rPr>
        <w:t>合理设置下凹式绿地、雨水花园等有调蓄雨水功能的生态设施，得0.5分；</w:t>
      </w:r>
    </w:p>
    <w:p w14:paraId="0C0EC08D">
      <w:pPr>
        <w:pStyle w:val="175"/>
      </w:pPr>
      <w:r>
        <w:rPr>
          <w:rFonts w:hint="eastAsia"/>
        </w:rPr>
        <w:t>人行道路、活动区硬质地面采用透水铺装，得0.5分。</w:t>
      </w:r>
    </w:p>
    <w:p w14:paraId="7152BAAA">
      <w:pPr>
        <w:pStyle w:val="165"/>
        <w:rPr>
          <w:rFonts w:ascii="Times New Roman"/>
          <w:szCs w:val="21"/>
        </w:rPr>
      </w:pPr>
      <w:r>
        <w:t>采取合理绿化方式，评价总分值为</w:t>
      </w:r>
      <w:r>
        <w:rPr>
          <w:rFonts w:hint="eastAsia" w:ascii="Times New Roman"/>
        </w:rPr>
        <w:t>1.5</w:t>
      </w:r>
      <w:r>
        <w:t>分，并按下列规则分别评分累计：</w:t>
      </w:r>
    </w:p>
    <w:p w14:paraId="366DD065">
      <w:pPr>
        <w:pStyle w:val="175"/>
        <w:numPr>
          <w:ilvl w:val="0"/>
          <w:numId w:val="46"/>
        </w:numPr>
      </w:pPr>
      <w:r>
        <w:rPr>
          <w:rFonts w:hint="eastAsia"/>
        </w:rPr>
        <w:t>栽植适合河北省气候土壤条件的抗旱、抗病虫害的乡土树木花草，得0.5分；</w:t>
      </w:r>
    </w:p>
    <w:p w14:paraId="7F81E5C4">
      <w:pPr>
        <w:pStyle w:val="175"/>
      </w:pPr>
      <w:r>
        <w:rPr>
          <w:rFonts w:hint="eastAsia"/>
        </w:rPr>
        <w:t>活动场地采用绿化遮阴，行车道采用树木遮阴，得0.5分；</w:t>
      </w:r>
    </w:p>
    <w:p w14:paraId="2A1B619E">
      <w:pPr>
        <w:pStyle w:val="175"/>
      </w:pPr>
      <w:r>
        <w:rPr>
          <w:rFonts w:hint="eastAsia"/>
        </w:rPr>
        <w:t>合理采用垂直绿化、屋顶绿化等方式，得0.5分。</w:t>
      </w:r>
    </w:p>
    <w:p w14:paraId="218958AE">
      <w:pPr>
        <w:pStyle w:val="165"/>
        <w:rPr>
          <w:rFonts w:ascii="Times New Roman"/>
        </w:rPr>
      </w:pPr>
      <w:r>
        <w:rPr>
          <w:rFonts w:hint="eastAsia"/>
        </w:rPr>
        <w:t>通过设置排风系统和密闭措施等手段，避免有气味、颗粒物、臭氧、热湿等散发源空间的污染物串通到室内其他空间，得</w:t>
      </w:r>
      <w:r>
        <w:rPr>
          <w:rFonts w:hint="eastAsia" w:ascii="Times New Roman"/>
        </w:rPr>
        <w:t>0.5</w:t>
      </w:r>
      <w:r>
        <w:rPr>
          <w:rFonts w:hint="eastAsia"/>
        </w:rPr>
        <w:t>分。</w:t>
      </w:r>
    </w:p>
    <w:p w14:paraId="1040DB35">
      <w:pPr>
        <w:pStyle w:val="105"/>
        <w:spacing w:before="312" w:after="312"/>
        <w:rPr>
          <w:rFonts w:ascii="Times New Roman"/>
          <w:szCs w:val="21"/>
        </w:rPr>
      </w:pPr>
      <w:bookmarkStart w:id="58" w:name="_Toc28371"/>
      <w:r>
        <w:rPr>
          <w:rFonts w:hint="eastAsia"/>
        </w:rPr>
        <w:t>管理与实施</w:t>
      </w:r>
      <w:bookmarkEnd w:id="58"/>
    </w:p>
    <w:p w14:paraId="54C1ECCC">
      <w:pPr>
        <w:pStyle w:val="106"/>
        <w:spacing w:before="156" w:after="156"/>
        <w:rPr>
          <w:rFonts w:ascii="Times New Roman"/>
          <w:szCs w:val="21"/>
        </w:rPr>
      </w:pPr>
      <w:bookmarkStart w:id="59" w:name="_Toc27670"/>
      <w:r>
        <w:t>控制项</w:t>
      </w:r>
      <w:bookmarkEnd w:id="59"/>
    </w:p>
    <w:p w14:paraId="61F3E95F">
      <w:pPr>
        <w:pStyle w:val="166"/>
        <w:rPr>
          <w:rFonts w:ascii="Times New Roman"/>
          <w:szCs w:val="21"/>
        </w:rPr>
      </w:pPr>
      <w:r>
        <w:rPr>
          <w:rFonts w:hint="eastAsia"/>
        </w:rPr>
        <w:t>应</w:t>
      </w:r>
      <w:r>
        <w:t>制定并实施节能、节水、</w:t>
      </w:r>
      <w:r>
        <w:rPr>
          <w:rFonts w:hint="eastAsia"/>
        </w:rPr>
        <w:t>节材</w:t>
      </w:r>
      <w:r>
        <w:t>、</w:t>
      </w:r>
      <w:r>
        <w:rPr>
          <w:rFonts w:hint="eastAsia"/>
        </w:rPr>
        <w:t>生活</w:t>
      </w:r>
      <w:r>
        <w:t>垃圾分类及绿化管理制度。</w:t>
      </w:r>
    </w:p>
    <w:p w14:paraId="75234292">
      <w:pPr>
        <w:pStyle w:val="166"/>
        <w:rPr>
          <w:rFonts w:ascii="Times New Roman" w:eastAsia="黑体"/>
        </w:rPr>
      </w:pPr>
      <w:r>
        <w:rPr>
          <w:rFonts w:hint="eastAsia"/>
        </w:rPr>
        <w:t>应</w:t>
      </w:r>
      <w:r>
        <w:t>建立用能设备（设施）</w:t>
      </w:r>
      <w:r>
        <w:rPr>
          <w:rFonts w:hint="eastAsia"/>
        </w:rPr>
        <w:t>、能源计量器具、能源资源消费统计</w:t>
      </w:r>
      <w:r>
        <w:t>台账。</w:t>
      </w:r>
    </w:p>
    <w:p w14:paraId="14B875D8">
      <w:pPr>
        <w:pStyle w:val="166"/>
        <w:rPr>
          <w:rFonts w:ascii="Times New Roman"/>
        </w:rPr>
      </w:pPr>
      <w:r>
        <w:rPr>
          <w:rFonts w:hint="eastAsia"/>
        </w:rPr>
        <w:t>应</w:t>
      </w:r>
      <w:r>
        <w:t>定期对建筑</w:t>
      </w:r>
      <w:r>
        <w:rPr>
          <w:rFonts w:hint="eastAsia"/>
        </w:rPr>
        <w:t>物</w:t>
      </w:r>
      <w:r>
        <w:t>及用能、用水设备进行巡查、</w:t>
      </w:r>
      <w:r>
        <w:rPr>
          <w:rFonts w:hint="eastAsia"/>
        </w:rPr>
        <w:t>测试、</w:t>
      </w:r>
      <w:r>
        <w:t>检修和维护，有相应记录。</w:t>
      </w:r>
    </w:p>
    <w:p w14:paraId="6AFDD4D4">
      <w:pPr>
        <w:pStyle w:val="166"/>
        <w:rPr>
          <w:rFonts w:ascii="Times New Roman"/>
        </w:rPr>
      </w:pPr>
      <w:r>
        <w:t>运行过程中</w:t>
      </w:r>
      <w:r>
        <w:rPr>
          <w:rFonts w:hint="eastAsia"/>
        </w:rPr>
        <w:t>不应存在超标排放的气态、液态或固态污染物，且不产生超标噪声和光污染。</w:t>
      </w:r>
    </w:p>
    <w:p w14:paraId="38F36174">
      <w:pPr>
        <w:pStyle w:val="106"/>
        <w:spacing w:before="156" w:after="156"/>
        <w:rPr>
          <w:rFonts w:ascii="Times New Roman"/>
          <w:szCs w:val="21"/>
        </w:rPr>
      </w:pPr>
      <w:bookmarkStart w:id="60" w:name="_Toc5444"/>
      <w:r>
        <w:t>评分项</w:t>
      </w:r>
      <w:bookmarkEnd w:id="60"/>
    </w:p>
    <w:p w14:paraId="47855718">
      <w:pPr>
        <w:pStyle w:val="66"/>
        <w:spacing w:before="156" w:after="156"/>
        <w:rPr>
          <w:szCs w:val="21"/>
        </w:rPr>
      </w:pPr>
      <w:r>
        <w:rPr>
          <w:rFonts w:hint="eastAsia"/>
        </w:rPr>
        <w:t xml:space="preserve">组织管理与制度建设  </w:t>
      </w:r>
    </w:p>
    <w:p w14:paraId="3CBFE986">
      <w:pPr>
        <w:pStyle w:val="165"/>
        <w:rPr>
          <w:rFonts w:ascii="Times New Roman"/>
        </w:rPr>
      </w:pPr>
      <w:r>
        <w:t>明确绿色运</w:t>
      </w:r>
      <w:r>
        <w:rPr>
          <w:rFonts w:hint="eastAsia"/>
        </w:rPr>
        <w:t>行</w:t>
      </w:r>
      <w:r>
        <w:t>工作的管理机构和工作职责</w:t>
      </w:r>
      <w:r>
        <w:rPr>
          <w:rFonts w:hint="eastAsia"/>
        </w:rPr>
        <w:t>，并指定具体负责人员，得</w:t>
      </w:r>
      <w:r>
        <w:rPr>
          <w:rFonts w:hint="eastAsia" w:ascii="Times New Roman"/>
        </w:rPr>
        <w:t>1</w:t>
      </w:r>
      <w:r>
        <w:rPr>
          <w:rFonts w:hint="eastAsia"/>
        </w:rPr>
        <w:t>分。</w:t>
      </w:r>
    </w:p>
    <w:p w14:paraId="20AA3E1A">
      <w:pPr>
        <w:pStyle w:val="165"/>
        <w:rPr>
          <w:rFonts w:ascii="Times New Roman"/>
        </w:rPr>
      </w:pPr>
      <w:r>
        <w:t>制定绿色运</w:t>
      </w:r>
      <w:r>
        <w:rPr>
          <w:rFonts w:hint="eastAsia"/>
        </w:rPr>
        <w:t>行</w:t>
      </w:r>
      <w:r>
        <w:t>实施</w:t>
      </w:r>
      <w:r>
        <w:rPr>
          <w:rFonts w:hint="eastAsia"/>
        </w:rPr>
        <w:t>制度</w:t>
      </w:r>
      <w:r>
        <w:t>方案，明确年度绿色运营目标</w:t>
      </w:r>
      <w:r>
        <w:rPr>
          <w:rFonts w:hint="eastAsia"/>
        </w:rPr>
        <w:t>，且根据实施效果进行了考核改进或奖惩兑现，得</w:t>
      </w:r>
      <w:r>
        <w:rPr>
          <w:rFonts w:hint="eastAsia" w:ascii="Times New Roman"/>
        </w:rPr>
        <w:t>1</w:t>
      </w:r>
      <w:r>
        <w:rPr>
          <w:rFonts w:hint="eastAsia"/>
        </w:rPr>
        <w:t>分。</w:t>
      </w:r>
    </w:p>
    <w:p w14:paraId="7EDEB9A9">
      <w:pPr>
        <w:pStyle w:val="165"/>
        <w:rPr>
          <w:rFonts w:ascii="Times New Roman"/>
        </w:rPr>
      </w:pPr>
      <w:r>
        <w:t>针对自然灾害、重特大事故及公共卫生事件等，制定专项应急处理预案，并有实施或演练记录</w:t>
      </w:r>
      <w:r>
        <w:rPr>
          <w:rFonts w:hint="eastAsia"/>
        </w:rPr>
        <w:t>，</w:t>
      </w:r>
      <w:r>
        <w:t>得</w:t>
      </w:r>
      <w:r>
        <w:rPr>
          <w:rFonts w:hint="eastAsia" w:ascii="Times New Roman"/>
        </w:rPr>
        <w:t>1</w:t>
      </w:r>
      <w:r>
        <w:t>分。</w:t>
      </w:r>
    </w:p>
    <w:p w14:paraId="5F544B44">
      <w:pPr>
        <w:pStyle w:val="165"/>
        <w:rPr>
          <w:rFonts w:ascii="Times New Roman"/>
        </w:rPr>
      </w:pPr>
      <w:r>
        <w:rPr>
          <w:rFonts w:hint="eastAsia"/>
        </w:rPr>
        <w:t>物业管理机构获得有关管理体系认证，评价总分值为</w:t>
      </w:r>
      <w:r>
        <w:rPr>
          <w:rFonts w:hint="eastAsia" w:ascii="Times New Roman"/>
        </w:rPr>
        <w:t>3</w:t>
      </w:r>
      <w:r>
        <w:rPr>
          <w:rFonts w:hint="eastAsia"/>
        </w:rPr>
        <w:t>分，并按下列规则分别评分并累计：</w:t>
      </w:r>
    </w:p>
    <w:p w14:paraId="72C5EDAD">
      <w:pPr>
        <w:pStyle w:val="175"/>
        <w:numPr>
          <w:ilvl w:val="0"/>
          <w:numId w:val="47"/>
        </w:numPr>
      </w:pPr>
      <w:r>
        <w:rPr>
          <w:rFonts w:hint="eastAsia"/>
        </w:rPr>
        <w:t xml:space="preserve">具有环境管理体系认证，得1分； </w:t>
      </w:r>
    </w:p>
    <w:p w14:paraId="7D93BD7A">
      <w:pPr>
        <w:pStyle w:val="175"/>
      </w:pPr>
      <w:r>
        <w:rPr>
          <w:rFonts w:hint="eastAsia"/>
        </w:rPr>
        <w:t>具有质量管理体系认证，得1分；</w:t>
      </w:r>
    </w:p>
    <w:p w14:paraId="765B5938">
      <w:pPr>
        <w:pStyle w:val="175"/>
      </w:pPr>
      <w:r>
        <w:rPr>
          <w:rFonts w:hint="eastAsia"/>
        </w:rPr>
        <w:t>具有能源管理体系认证，得1分。</w:t>
      </w:r>
    </w:p>
    <w:p w14:paraId="0CC0F161">
      <w:pPr>
        <w:pStyle w:val="66"/>
        <w:spacing w:before="156" w:after="156"/>
        <w:rPr>
          <w:szCs w:val="21"/>
        </w:rPr>
      </w:pPr>
      <w:r>
        <w:rPr>
          <w:rFonts w:hint="eastAsia"/>
        </w:rPr>
        <w:t xml:space="preserve">能源资源统计分析 </w:t>
      </w:r>
    </w:p>
    <w:p w14:paraId="44C3543C">
      <w:pPr>
        <w:pStyle w:val="165"/>
        <w:rPr>
          <w:rFonts w:ascii="Times New Roman"/>
        </w:rPr>
      </w:pPr>
      <w:r>
        <w:rPr>
          <w:rFonts w:hint="eastAsia"/>
        </w:rPr>
        <w:t>采取有效能源计量管理措施</w:t>
      </w:r>
      <w:r>
        <w:t>，对</w:t>
      </w:r>
      <w:r>
        <w:rPr>
          <w:rFonts w:hint="eastAsia"/>
        </w:rPr>
        <w:t>用能</w:t>
      </w:r>
      <w:r>
        <w:t>异常情况及时查明原因，评价总分值为</w:t>
      </w:r>
      <w:r>
        <w:rPr>
          <w:rFonts w:hint="eastAsia" w:ascii="Times New Roman"/>
        </w:rPr>
        <w:t>3</w:t>
      </w:r>
      <w:r>
        <w:t>分，并按下列规则分别评分累计：</w:t>
      </w:r>
    </w:p>
    <w:p w14:paraId="01481B67">
      <w:pPr>
        <w:pStyle w:val="175"/>
        <w:numPr>
          <w:ilvl w:val="0"/>
          <w:numId w:val="48"/>
        </w:numPr>
      </w:pPr>
      <w:r>
        <w:rPr>
          <w:rFonts w:hint="eastAsia"/>
        </w:rPr>
        <w:t>能源资源器具配备和管理应符合GB 17167和GB/T 29149的要求，得1分；</w:t>
      </w:r>
    </w:p>
    <w:p w14:paraId="330BE203">
      <w:pPr>
        <w:pStyle w:val="175"/>
      </w:pPr>
      <w:r>
        <w:rPr>
          <w:rFonts w:hint="eastAsia"/>
        </w:rPr>
        <w:t>编制能源计量网络图，得1分；</w:t>
      </w:r>
    </w:p>
    <w:p w14:paraId="253D80CB">
      <w:pPr>
        <w:pStyle w:val="175"/>
      </w:pPr>
      <w:r>
        <w:rPr>
          <w:rFonts w:hint="eastAsia"/>
        </w:rPr>
        <w:t>定期收集计量数据，对能源消耗情况进行统计分析，得1分。</w:t>
      </w:r>
    </w:p>
    <w:p w14:paraId="3156948D">
      <w:pPr>
        <w:pStyle w:val="165"/>
        <w:rPr>
          <w:rFonts w:ascii="Times New Roman"/>
        </w:rPr>
      </w:pPr>
      <w:r>
        <w:t>采取有效节水措施，并取得良好节水效果，评价总分值为</w:t>
      </w:r>
      <w:r>
        <w:rPr>
          <w:rFonts w:hint="eastAsia" w:ascii="Times New Roman"/>
        </w:rPr>
        <w:t>3</w:t>
      </w:r>
      <w:r>
        <w:t>分，并按下列规则分别评分累计：</w:t>
      </w:r>
    </w:p>
    <w:p w14:paraId="234D4857">
      <w:pPr>
        <w:pStyle w:val="175"/>
        <w:numPr>
          <w:ilvl w:val="0"/>
          <w:numId w:val="49"/>
        </w:numPr>
      </w:pPr>
      <w:r>
        <w:rPr>
          <w:rFonts w:hint="eastAsia"/>
        </w:rPr>
        <w:t>编制完整的给水系统计量网络图，得1分；</w:t>
      </w:r>
    </w:p>
    <w:p w14:paraId="5AB714EE">
      <w:pPr>
        <w:pStyle w:val="175"/>
      </w:pPr>
      <w:r>
        <w:rPr>
          <w:rFonts w:hint="eastAsia"/>
        </w:rPr>
        <w:t>对分类、分项计量水表定期统计用水量并分析各种水量的变化趋势、合理性和节水潜力，得1分；</w:t>
      </w:r>
    </w:p>
    <w:p w14:paraId="2F6331AB">
      <w:pPr>
        <w:pStyle w:val="175"/>
      </w:pPr>
      <w:r>
        <w:rPr>
          <w:rFonts w:hint="eastAsia"/>
        </w:rPr>
        <w:t>根据用水计量统计结果进行整改，得1分。</w:t>
      </w:r>
    </w:p>
    <w:p w14:paraId="1A6BDF38">
      <w:pPr>
        <w:pStyle w:val="165"/>
        <w:rPr>
          <w:rFonts w:ascii="Times New Roman"/>
        </w:rPr>
      </w:pPr>
      <w:r>
        <w:rPr>
          <w:rFonts w:hint="eastAsia"/>
        </w:rPr>
        <w:t>近</w:t>
      </w:r>
      <w:r>
        <w:rPr>
          <w:rFonts w:hint="eastAsia" w:ascii="Times New Roman"/>
        </w:rPr>
        <w:t>1</w:t>
      </w:r>
      <w:r>
        <w:rPr>
          <w:rFonts w:hint="eastAsia"/>
        </w:rPr>
        <w:t>年，每季度至少公示一次能源资源消费情况，且应包括结果对比变化，得</w:t>
      </w:r>
      <w:r>
        <w:rPr>
          <w:rFonts w:hint="eastAsia" w:ascii="Times New Roman"/>
        </w:rPr>
        <w:t>1</w:t>
      </w:r>
      <w:r>
        <w:rPr>
          <w:rFonts w:hint="eastAsia"/>
        </w:rPr>
        <w:t>分。</w:t>
      </w:r>
    </w:p>
    <w:p w14:paraId="454C0513">
      <w:pPr>
        <w:pStyle w:val="165"/>
        <w:rPr>
          <w:rFonts w:ascii="Times New Roman"/>
        </w:rPr>
      </w:pPr>
      <w:r>
        <w:rPr>
          <w:rFonts w:hint="eastAsia"/>
        </w:rPr>
        <w:t>定期开展能源审计，根据能源审计结论，制定整改方案并组织实施，评价总分值为</w:t>
      </w:r>
      <w:r>
        <w:rPr>
          <w:rFonts w:hint="eastAsia" w:ascii="Times New Roman"/>
        </w:rPr>
        <w:t>2</w:t>
      </w:r>
      <w:r>
        <w:rPr>
          <w:rFonts w:hint="eastAsia"/>
        </w:rPr>
        <w:t>分，并按下列规则分别评分并累计：</w:t>
      </w:r>
    </w:p>
    <w:p w14:paraId="1B2E48AA">
      <w:pPr>
        <w:pStyle w:val="175"/>
        <w:numPr>
          <w:ilvl w:val="0"/>
          <w:numId w:val="50"/>
        </w:numPr>
      </w:pPr>
      <w:r>
        <w:rPr>
          <w:rFonts w:hint="eastAsia"/>
        </w:rPr>
        <w:t>近3年进行过一次能源审计，形成完整的能源审计报告，得1分；</w:t>
      </w:r>
    </w:p>
    <w:p w14:paraId="75586788">
      <w:pPr>
        <w:pStyle w:val="175"/>
      </w:pPr>
      <w:r>
        <w:rPr>
          <w:rFonts w:hint="eastAsia"/>
        </w:rPr>
        <w:t>根据能源审计结论，制定整改方案并组织实施，得1分。</w:t>
      </w:r>
    </w:p>
    <w:p w14:paraId="490EDB57">
      <w:pPr>
        <w:pStyle w:val="66"/>
        <w:spacing w:before="156" w:after="156"/>
        <w:rPr>
          <w:szCs w:val="21"/>
        </w:rPr>
      </w:pPr>
      <w:r>
        <w:rPr>
          <w:rFonts w:hint="eastAsia"/>
        </w:rPr>
        <w:t xml:space="preserve">设备运行管理 </w:t>
      </w:r>
    </w:p>
    <w:p w14:paraId="665DFE81">
      <w:pPr>
        <w:pStyle w:val="165"/>
        <w:rPr>
          <w:rFonts w:ascii="Times New Roman"/>
        </w:rPr>
      </w:pPr>
      <w:r>
        <w:t>对</w:t>
      </w:r>
      <w:r>
        <w:rPr>
          <w:rFonts w:hint="eastAsia"/>
        </w:rPr>
        <w:t>供暖</w:t>
      </w:r>
      <w:r>
        <w:t>、空调系统、照明设备及其他大型设备等主要用能设备进行专项节能管理，评价总分值为</w:t>
      </w:r>
      <w:r>
        <w:rPr>
          <w:rFonts w:hint="eastAsia" w:ascii="Times New Roman"/>
        </w:rPr>
        <w:t>1.5</w:t>
      </w:r>
      <w:r>
        <w:t>分，并按下列规则分别评分累计：</w:t>
      </w:r>
    </w:p>
    <w:p w14:paraId="77E62845">
      <w:pPr>
        <w:pStyle w:val="175"/>
        <w:numPr>
          <w:ilvl w:val="0"/>
          <w:numId w:val="51"/>
        </w:numPr>
      </w:pPr>
      <w:r>
        <w:rPr>
          <w:rFonts w:hint="eastAsia"/>
        </w:rPr>
        <w:t>操作岗位配备专业技术人员，得0.5分；</w:t>
      </w:r>
    </w:p>
    <w:p w14:paraId="793F6F13">
      <w:pPr>
        <w:pStyle w:val="175"/>
      </w:pPr>
      <w:r>
        <w:rPr>
          <w:rFonts w:hint="eastAsia"/>
        </w:rPr>
        <w:t>用能系统定期维护保养，并将记录归档保存，得0.5分；</w:t>
      </w:r>
    </w:p>
    <w:p w14:paraId="4CBAC873">
      <w:pPr>
        <w:pStyle w:val="175"/>
      </w:pPr>
      <w:r>
        <w:rPr>
          <w:rFonts w:hint="eastAsia"/>
        </w:rPr>
        <w:t>根据主要用能设备特点采取专门的节能管理措施，得0.5分。</w:t>
      </w:r>
    </w:p>
    <w:p w14:paraId="4A3777CE">
      <w:pPr>
        <w:pStyle w:val="165"/>
        <w:rPr>
          <w:rFonts w:ascii="Times New Roman"/>
        </w:rPr>
      </w:pPr>
      <w:r>
        <w:rPr>
          <w:rFonts w:hint="eastAsia"/>
        </w:rPr>
        <w:t>给水水池、水箱等储水设施应定期清洗消毒，每半年至少</w:t>
      </w:r>
      <w:r>
        <w:rPr>
          <w:rFonts w:hint="eastAsia" w:ascii="Times New Roman"/>
        </w:rPr>
        <w:t>1</w:t>
      </w:r>
      <w:r>
        <w:rPr>
          <w:rFonts w:hint="eastAsia"/>
        </w:rPr>
        <w:t>次，得</w:t>
      </w:r>
      <w:r>
        <w:rPr>
          <w:rFonts w:hint="eastAsia" w:ascii="Times New Roman"/>
        </w:rPr>
        <w:t>1</w:t>
      </w:r>
      <w:r>
        <w:rPr>
          <w:rFonts w:hint="eastAsia"/>
        </w:rPr>
        <w:t>分。</w:t>
      </w:r>
    </w:p>
    <w:p w14:paraId="1698C109">
      <w:pPr>
        <w:pStyle w:val="165"/>
        <w:rPr>
          <w:rFonts w:ascii="Times New Roman"/>
        </w:rPr>
      </w:pPr>
      <w:r>
        <w:rPr>
          <w:rFonts w:hint="eastAsia"/>
        </w:rPr>
        <w:t>制定空调通风系统和净化设备的检查、清洗和维护计划，并有实施记录，得</w:t>
      </w:r>
      <w:r>
        <w:rPr>
          <w:rFonts w:hint="eastAsia" w:ascii="Times New Roman"/>
        </w:rPr>
        <w:t>1</w:t>
      </w:r>
      <w:r>
        <w:rPr>
          <w:rFonts w:hint="eastAsia"/>
        </w:rPr>
        <w:t>分。</w:t>
      </w:r>
    </w:p>
    <w:p w14:paraId="66327C41">
      <w:pPr>
        <w:pStyle w:val="165"/>
        <w:rPr>
          <w:rFonts w:ascii="Times New Roman"/>
        </w:rPr>
      </w:pPr>
      <w:r>
        <w:rPr>
          <w:rFonts w:hint="eastAsia"/>
        </w:rPr>
        <w:t>数据中心采取</w:t>
      </w:r>
      <w:r>
        <w:t>节能运行管理与优化</w:t>
      </w:r>
      <w:r>
        <w:rPr>
          <w:rFonts w:hint="eastAsia"/>
        </w:rPr>
        <w:t>措施</w:t>
      </w:r>
      <w:r>
        <w:t>，评价总分值为</w:t>
      </w:r>
      <w:r>
        <w:rPr>
          <w:rFonts w:hint="eastAsia" w:ascii="Times New Roman"/>
        </w:rPr>
        <w:t>1.5</w:t>
      </w:r>
      <w:r>
        <w:t>分，并按下列规则分别评分并累计：</w:t>
      </w:r>
    </w:p>
    <w:p w14:paraId="237D1D90">
      <w:pPr>
        <w:pStyle w:val="175"/>
        <w:numPr>
          <w:ilvl w:val="0"/>
          <w:numId w:val="52"/>
        </w:numPr>
      </w:pPr>
      <w:r>
        <w:rPr>
          <w:rFonts w:hint="eastAsia"/>
        </w:rPr>
        <w:t>对信息设备、冷热源、输配系统和照明等各部分能耗定期进行分项统计分析，得0.5分；</w:t>
      </w:r>
    </w:p>
    <w:p w14:paraId="2FCC8D1A">
      <w:pPr>
        <w:pStyle w:val="175"/>
      </w:pPr>
      <w:r>
        <w:rPr>
          <w:rFonts w:hint="eastAsia"/>
        </w:rPr>
        <w:t>数据中心平均PUE值为1.3及以下，得1分。</w:t>
      </w:r>
    </w:p>
    <w:p w14:paraId="4C13A9B9">
      <w:pPr>
        <w:pStyle w:val="165"/>
      </w:pPr>
      <w:r>
        <w:rPr>
          <w:rFonts w:hint="eastAsia"/>
        </w:rPr>
        <w:t>办公设备设施根据工作时间实现定时开关，电开水器（饮水机）等设施夜间切断电源，得1分。</w:t>
      </w:r>
    </w:p>
    <w:p w14:paraId="3DDB3F40">
      <w:pPr>
        <w:pStyle w:val="66"/>
        <w:spacing w:before="156" w:after="156"/>
        <w:rPr>
          <w:szCs w:val="21"/>
        </w:rPr>
      </w:pPr>
      <w:r>
        <w:rPr>
          <w:rFonts w:hint="eastAsia"/>
        </w:rPr>
        <w:t xml:space="preserve">公务用车管理 </w:t>
      </w:r>
    </w:p>
    <w:p w14:paraId="016F741E">
      <w:pPr>
        <w:pStyle w:val="165"/>
        <w:rPr>
          <w:rFonts w:ascii="Times New Roman"/>
        </w:rPr>
      </w:pPr>
      <w:r>
        <w:t>执行公务</w:t>
      </w:r>
      <w:r>
        <w:rPr>
          <w:rFonts w:hint="eastAsia"/>
        </w:rPr>
        <w:t>用</w:t>
      </w:r>
      <w:r>
        <w:t>车管理制度，评价总分值为</w:t>
      </w:r>
      <w:r>
        <w:rPr>
          <w:rFonts w:hint="eastAsia" w:ascii="Times New Roman"/>
        </w:rPr>
        <w:t>1</w:t>
      </w:r>
      <w:r>
        <w:t>分，并按下列规则分别评分累计：</w:t>
      </w:r>
    </w:p>
    <w:p w14:paraId="214E552D">
      <w:pPr>
        <w:pStyle w:val="175"/>
        <w:numPr>
          <w:ilvl w:val="0"/>
          <w:numId w:val="53"/>
        </w:numPr>
      </w:pPr>
      <w:r>
        <w:rPr>
          <w:rFonts w:hint="eastAsia"/>
        </w:rPr>
        <w:t xml:space="preserve">配备的公务用车数量、规格等符合相关公务用车配备使用管理制度要求，得0.5分； </w:t>
      </w:r>
    </w:p>
    <w:p w14:paraId="0F735291">
      <w:pPr>
        <w:pStyle w:val="175"/>
      </w:pPr>
      <w:r>
        <w:rPr>
          <w:rFonts w:hint="eastAsia"/>
          <w:color w:val="000000" w:themeColor="text1"/>
          <w14:textFill>
            <w14:solidFill>
              <w14:schemeClr w14:val="tx1"/>
            </w14:solidFill>
          </w14:textFill>
        </w:rPr>
        <w:t>淘汰高耗能、高污染的老旧汽车</w:t>
      </w:r>
      <w:r>
        <w:rPr>
          <w:rFonts w:hint="eastAsia"/>
        </w:rPr>
        <w:t>，得0.5 分。</w:t>
      </w:r>
    </w:p>
    <w:p w14:paraId="46C12D64">
      <w:pPr>
        <w:pStyle w:val="165"/>
        <w:rPr>
          <w:rFonts w:ascii="Times New Roman"/>
        </w:rPr>
      </w:pPr>
      <w:r>
        <w:t>加强公务用车管理，评价总分值为</w:t>
      </w:r>
      <w:r>
        <w:rPr>
          <w:rFonts w:hint="eastAsia" w:ascii="Times New Roman"/>
        </w:rPr>
        <w:t>2</w:t>
      </w:r>
      <w:r>
        <w:t>分，并按下列规则分别评分累计：</w:t>
      </w:r>
    </w:p>
    <w:p w14:paraId="66358EDA">
      <w:pPr>
        <w:pStyle w:val="175"/>
        <w:numPr>
          <w:ilvl w:val="0"/>
          <w:numId w:val="54"/>
        </w:numPr>
      </w:pPr>
      <w:r>
        <w:rPr>
          <w:rFonts w:hint="eastAsia"/>
        </w:rPr>
        <w:t>利用信息化手段，实现车辆调度、定位监控、轨迹记录等功能，得1分；</w:t>
      </w:r>
    </w:p>
    <w:p w14:paraId="0AE6CFAF">
      <w:pPr>
        <w:pStyle w:val="175"/>
      </w:pPr>
      <w:r>
        <w:rPr>
          <w:rFonts w:hint="eastAsia"/>
        </w:rPr>
        <w:t>实行公务用车能耗，运行费用单车核算，得1分。</w:t>
      </w:r>
    </w:p>
    <w:p w14:paraId="775E8301">
      <w:pPr>
        <w:pStyle w:val="66"/>
        <w:spacing w:before="156" w:after="156"/>
        <w:rPr>
          <w:szCs w:val="21"/>
        </w:rPr>
      </w:pPr>
      <w:r>
        <w:rPr>
          <w:rFonts w:hint="eastAsia"/>
        </w:rPr>
        <w:t xml:space="preserve">绿色食堂  </w:t>
      </w:r>
    </w:p>
    <w:p w14:paraId="13799FA8">
      <w:pPr>
        <w:pStyle w:val="165"/>
        <w:rPr>
          <w:rFonts w:ascii="Times New Roman"/>
        </w:rPr>
      </w:pPr>
      <w:r>
        <w:t>食堂采取节能环保措施，评价总分值为</w:t>
      </w:r>
      <w:r>
        <w:rPr>
          <w:rFonts w:ascii="Times New Roman"/>
        </w:rPr>
        <w:t>2</w:t>
      </w:r>
      <w:r>
        <w:t>分，并按下列规则分别评分累计：</w:t>
      </w:r>
    </w:p>
    <w:p w14:paraId="7D24A3E7">
      <w:pPr>
        <w:pStyle w:val="175"/>
        <w:numPr>
          <w:ilvl w:val="0"/>
          <w:numId w:val="55"/>
        </w:numPr>
      </w:pPr>
      <w:r>
        <w:rPr>
          <w:rFonts w:hint="eastAsia"/>
        </w:rPr>
        <w:t>加强油烟净化设备设施维护管理，保证油烟排放达标，得1分；</w:t>
      </w:r>
    </w:p>
    <w:p w14:paraId="0BF5F3C2">
      <w:pPr>
        <w:pStyle w:val="175"/>
      </w:pPr>
      <w:r>
        <w:rPr>
          <w:rFonts w:hint="eastAsia"/>
        </w:rPr>
        <w:t>餐厨垃圾应交由有资质的回收机构处理或按规定就地资源化处理，得1分。</w:t>
      </w:r>
    </w:p>
    <w:p w14:paraId="56317E57">
      <w:pPr>
        <w:pStyle w:val="165"/>
        <w:rPr>
          <w:rFonts w:ascii="Times New Roman"/>
        </w:rPr>
      </w:pPr>
      <w:r>
        <w:t>开展绿色食堂创建活动，评价总分值为</w:t>
      </w:r>
      <w:r>
        <w:rPr>
          <w:rFonts w:hint="eastAsia" w:ascii="Times New Roman"/>
        </w:rPr>
        <w:t>4</w:t>
      </w:r>
      <w:r>
        <w:t>分，并按下列规则分别评分累计：</w:t>
      </w:r>
    </w:p>
    <w:p w14:paraId="33CF8B86">
      <w:pPr>
        <w:pStyle w:val="175"/>
        <w:numPr>
          <w:ilvl w:val="0"/>
          <w:numId w:val="56"/>
        </w:numPr>
      </w:pPr>
      <w:r>
        <w:rPr>
          <w:rFonts w:hint="eastAsia"/>
        </w:rPr>
        <w:t>采购绿色健康食材，主要食材获得国家</w:t>
      </w:r>
      <w:r>
        <w:rPr>
          <w:rFonts w:hint="eastAsia"/>
          <w:color w:val="000000" w:themeColor="text1"/>
          <w14:textFill>
            <w14:solidFill>
              <w14:schemeClr w14:val="tx1"/>
            </w14:solidFill>
          </w14:textFill>
        </w:rPr>
        <w:t>绿色食品认证</w:t>
      </w:r>
      <w:r>
        <w:rPr>
          <w:rFonts w:hint="eastAsia"/>
        </w:rPr>
        <w:t>，得0.5分；</w:t>
      </w:r>
    </w:p>
    <w:p w14:paraId="574A2EC4">
      <w:pPr>
        <w:pStyle w:val="175"/>
      </w:pPr>
      <w:r>
        <w:rPr>
          <w:rFonts w:hint="eastAsia"/>
        </w:rPr>
        <w:t>减少食物加工过程，采用少油、少盐、少加工的烹饪方法，得1分；</w:t>
      </w:r>
    </w:p>
    <w:p w14:paraId="551ABDE9">
      <w:pPr>
        <w:pStyle w:val="175"/>
      </w:pPr>
      <w:r>
        <w:rPr>
          <w:rFonts w:hint="eastAsia"/>
        </w:rPr>
        <w:t>开展反对食品浪费行动，推行“光盘行动”，倡导爱惜粮食、节约粮食的良好习惯，得0.5分；</w:t>
      </w:r>
    </w:p>
    <w:p w14:paraId="431C3A80">
      <w:pPr>
        <w:pStyle w:val="175"/>
        <w:rPr>
          <w:kern w:val="2"/>
        </w:rPr>
      </w:pPr>
      <w:r>
        <w:rPr>
          <w:rFonts w:hint="eastAsia"/>
        </w:rPr>
        <w:t>加强食堂精细化管理，实行食品供应的定量与定额管理，得1分；</w:t>
      </w:r>
    </w:p>
    <w:p w14:paraId="110A06FE">
      <w:pPr>
        <w:pStyle w:val="175"/>
      </w:pPr>
      <w:r>
        <w:rPr>
          <w:rFonts w:hint="eastAsia"/>
        </w:rPr>
        <w:t>实施食堂反食品浪费工作成效评估和通报制度，得1分。</w:t>
      </w:r>
    </w:p>
    <w:p w14:paraId="4F0A202D">
      <w:pPr>
        <w:pStyle w:val="66"/>
        <w:spacing w:before="156" w:after="156"/>
        <w:rPr>
          <w:szCs w:val="21"/>
        </w:rPr>
      </w:pPr>
      <w:r>
        <w:rPr>
          <w:rFonts w:hint="eastAsia"/>
        </w:rPr>
        <w:t xml:space="preserve">宣传引导 </w:t>
      </w:r>
    </w:p>
    <w:p w14:paraId="398ADEAA">
      <w:pPr>
        <w:pStyle w:val="165"/>
        <w:rPr>
          <w:rFonts w:ascii="Times New Roman"/>
          <w:szCs w:val="21"/>
        </w:rPr>
      </w:pPr>
      <w:r>
        <w:t>建立绿色</w:t>
      </w:r>
      <w:r>
        <w:rPr>
          <w:rFonts w:hint="eastAsia"/>
        </w:rPr>
        <w:t>低碳</w:t>
      </w:r>
      <w:r>
        <w:t>教育宣传</w:t>
      </w:r>
      <w:r>
        <w:rPr>
          <w:rFonts w:hint="eastAsia"/>
        </w:rPr>
        <w:t>引导</w:t>
      </w:r>
      <w:r>
        <w:t>机制，形成良好的绿色氛围，评价总分值为</w:t>
      </w:r>
      <w:r>
        <w:rPr>
          <w:rFonts w:hint="eastAsia" w:ascii="Times New Roman"/>
        </w:rPr>
        <w:t>3</w:t>
      </w:r>
      <w:r>
        <w:t>分，并按下列规则分别评分并累计：</w:t>
      </w:r>
    </w:p>
    <w:p w14:paraId="27D3482C">
      <w:pPr>
        <w:pStyle w:val="175"/>
        <w:numPr>
          <w:ilvl w:val="0"/>
          <w:numId w:val="57"/>
        </w:numPr>
      </w:pPr>
      <w:r>
        <w:rPr>
          <w:rFonts w:hint="eastAsia"/>
        </w:rPr>
        <w:t>积极配合参与节能主管部门开展的节能活动，得1分；</w:t>
      </w:r>
    </w:p>
    <w:p w14:paraId="2A7110FF">
      <w:pPr>
        <w:pStyle w:val="175"/>
      </w:pPr>
      <w:r>
        <w:rPr>
          <w:rFonts w:hint="eastAsia"/>
        </w:rPr>
        <w:t>组织开展世界地球日、六五环境日、世界粮食日、全国节能宣传周、全国低碳日、中国水周等绿色宣传活动，得1分；</w:t>
      </w:r>
    </w:p>
    <w:p w14:paraId="19629FAB">
      <w:pPr>
        <w:pStyle w:val="175"/>
      </w:pPr>
      <w:r>
        <w:rPr>
          <w:rFonts w:hint="eastAsia"/>
        </w:rPr>
        <w:t>每年至少组织一次本单位低碳节能知识讲座或培训，将节能降碳、节水、生活垃圾分类、反食品浪费、塑料污染治理等纳入干部职工培训内容，得1分。</w:t>
      </w:r>
    </w:p>
    <w:p w14:paraId="460F593A">
      <w:pPr>
        <w:pStyle w:val="165"/>
        <w:rPr>
          <w:rFonts w:ascii="Times New Roman"/>
        </w:rPr>
      </w:pPr>
      <w:r>
        <w:rPr>
          <w:rFonts w:hint="eastAsia"/>
        </w:rPr>
        <w:t>加强</w:t>
      </w:r>
      <w:r>
        <w:t>绿色</w:t>
      </w:r>
      <w:r>
        <w:rPr>
          <w:rFonts w:hint="eastAsia"/>
        </w:rPr>
        <w:t>低碳</w:t>
      </w:r>
      <w:r>
        <w:t>行为</w:t>
      </w:r>
      <w:r>
        <w:rPr>
          <w:rFonts w:hint="eastAsia"/>
        </w:rPr>
        <w:t>引导</w:t>
      </w:r>
      <w:r>
        <w:t>，评价总分值为</w:t>
      </w:r>
      <w:r>
        <w:rPr>
          <w:rFonts w:hint="eastAsia" w:ascii="Times New Roman"/>
        </w:rPr>
        <w:t>3</w:t>
      </w:r>
      <w:r>
        <w:t>分，并按下列规则分别评分并累计：</w:t>
      </w:r>
    </w:p>
    <w:p w14:paraId="169A3351">
      <w:pPr>
        <w:pStyle w:val="175"/>
        <w:numPr>
          <w:ilvl w:val="0"/>
          <w:numId w:val="58"/>
        </w:numPr>
      </w:pPr>
      <w:r>
        <w:rPr>
          <w:rFonts w:hint="eastAsia"/>
        </w:rPr>
        <w:t>设置办公设备节电、随手关灯、减少使用电梯、空调温度设定、节约用水、节约粮食等节约行为提醒标识，每项得0.5分，最高得1.5分</w:t>
      </w:r>
    </w:p>
    <w:p w14:paraId="55F7BBFB">
      <w:pPr>
        <w:pStyle w:val="175"/>
      </w:pPr>
      <w:r>
        <w:rPr>
          <w:rFonts w:hint="eastAsia"/>
          <w:color w:val="000000" w:themeColor="text1"/>
          <w14:textFill>
            <w14:solidFill>
              <w14:schemeClr w14:val="tx1"/>
            </w14:solidFill>
          </w14:textFill>
        </w:rPr>
        <w:t>转变现有出行模式，积极倡导公共交通、电动车、自行车等低碳或无碳方式，得0.5分</w:t>
      </w:r>
      <w:r>
        <w:rPr>
          <w:rFonts w:hint="eastAsia"/>
        </w:rPr>
        <w:t>；</w:t>
      </w:r>
    </w:p>
    <w:p w14:paraId="4637ACED">
      <w:pPr>
        <w:pStyle w:val="175"/>
      </w:pPr>
      <w:r>
        <w:rPr>
          <w:rFonts w:hint="eastAsia"/>
        </w:rPr>
        <w:t>减少使用签字笔、纸杯、一次性餐具、塑料袋等一次性用品，得1分。</w:t>
      </w:r>
    </w:p>
    <w:p w14:paraId="2D57003C">
      <w:pPr>
        <w:pStyle w:val="165"/>
        <w:rPr>
          <w:rFonts w:ascii="Times New Roman"/>
        </w:rPr>
      </w:pPr>
      <w:r>
        <w:t>做好</w:t>
      </w:r>
      <w:r>
        <w:rPr>
          <w:rFonts w:hint="eastAsia"/>
        </w:rPr>
        <w:t>垃圾</w:t>
      </w:r>
      <w:r>
        <w:t>分类知识的宣传和培训工作，评价总分值为</w:t>
      </w:r>
      <w:r>
        <w:rPr>
          <w:rFonts w:hint="eastAsia" w:ascii="Times New Roman"/>
        </w:rPr>
        <w:t>2</w:t>
      </w:r>
      <w:r>
        <w:t>分，并按下列规则分别评分并累计：</w:t>
      </w:r>
    </w:p>
    <w:p w14:paraId="527B081F">
      <w:pPr>
        <w:pStyle w:val="175"/>
        <w:numPr>
          <w:ilvl w:val="0"/>
          <w:numId w:val="59"/>
        </w:numPr>
      </w:pPr>
      <w:r>
        <w:rPr>
          <w:rFonts w:hint="eastAsia"/>
        </w:rPr>
        <w:t>张贴生活垃圾分类投放指南，得0.5分。</w:t>
      </w:r>
    </w:p>
    <w:p w14:paraId="51AE75C0">
      <w:pPr>
        <w:pStyle w:val="175"/>
      </w:pPr>
      <w:r>
        <w:rPr>
          <w:rFonts w:hint="eastAsia"/>
        </w:rPr>
        <w:t>对干部职工正确投放生活垃圾进行宣传和培训工作，得0.5分</w:t>
      </w:r>
    </w:p>
    <w:p w14:paraId="14D4816D">
      <w:pPr>
        <w:pStyle w:val="175"/>
      </w:pPr>
      <w:r>
        <w:rPr>
          <w:rFonts w:hint="eastAsia"/>
        </w:rPr>
        <w:t xml:space="preserve">将可回收垃圾交由有相应资质的企业进行回收处理，得0.5分； </w:t>
      </w:r>
    </w:p>
    <w:p w14:paraId="5787A357">
      <w:pPr>
        <w:pStyle w:val="175"/>
      </w:pPr>
      <w:r>
        <w:rPr>
          <w:rFonts w:hint="eastAsia"/>
        </w:rPr>
        <w:t>将废旧含汞灯管等有害垃圾交由有相应资质的企业进行回收处理，得0.5分。</w:t>
      </w:r>
    </w:p>
    <w:p w14:paraId="416B9A04">
      <w:pPr>
        <w:pStyle w:val="165"/>
        <w:rPr>
          <w:rFonts w:ascii="黑体" w:eastAsia="黑体"/>
        </w:rPr>
      </w:pPr>
      <w:r>
        <w:rPr>
          <w:rFonts w:hint="eastAsia"/>
        </w:rPr>
        <w:t>建筑室内和主出入口处禁止吸烟，并在醒目位置设置禁烟标志，得</w:t>
      </w:r>
      <w:r>
        <w:rPr>
          <w:rFonts w:hint="eastAsia" w:ascii="Times New Roman"/>
        </w:rPr>
        <w:t>1</w:t>
      </w:r>
      <w:r>
        <w:rPr>
          <w:rFonts w:hint="eastAsia"/>
        </w:rPr>
        <w:t>分。</w:t>
      </w:r>
    </w:p>
    <w:p w14:paraId="2E1CF5F5">
      <w:pPr>
        <w:pStyle w:val="66"/>
        <w:spacing w:before="156" w:after="156"/>
        <w:rPr>
          <w:szCs w:val="21"/>
        </w:rPr>
      </w:pPr>
      <w:r>
        <w:rPr>
          <w:rFonts w:hint="eastAsia"/>
        </w:rPr>
        <w:t xml:space="preserve">公共服务 </w:t>
      </w:r>
    </w:p>
    <w:p w14:paraId="66A6AB5F">
      <w:pPr>
        <w:pStyle w:val="165"/>
        <w:rPr>
          <w:rFonts w:ascii="Times New Roman"/>
        </w:rPr>
      </w:pPr>
      <w:r>
        <w:t>向社会</w:t>
      </w:r>
      <w:r>
        <w:rPr>
          <w:rFonts w:hint="eastAsia"/>
        </w:rPr>
        <w:t>公众</w:t>
      </w:r>
      <w:r>
        <w:t>提供共享</w:t>
      </w:r>
      <w:r>
        <w:rPr>
          <w:rFonts w:hint="eastAsia"/>
        </w:rPr>
        <w:t>开放</w:t>
      </w:r>
      <w:r>
        <w:t>空间及公共设施，评价总分值为</w:t>
      </w:r>
      <w:r>
        <w:rPr>
          <w:rFonts w:hint="eastAsia" w:ascii="Times New Roman"/>
        </w:rPr>
        <w:t>3</w:t>
      </w:r>
      <w:r>
        <w:t>分，并按下列规则分别评分并累计：</w:t>
      </w:r>
    </w:p>
    <w:p w14:paraId="5CB87033">
      <w:pPr>
        <w:pStyle w:val="175"/>
        <w:numPr>
          <w:ilvl w:val="0"/>
          <w:numId w:val="60"/>
        </w:numPr>
      </w:pPr>
      <w:r>
        <w:rPr>
          <w:rFonts w:hint="eastAsia"/>
        </w:rPr>
        <w:t>提供室外绿地花园、室内公共空间等共享空间，得1分；</w:t>
      </w:r>
    </w:p>
    <w:p w14:paraId="59B4FDEE">
      <w:pPr>
        <w:pStyle w:val="175"/>
      </w:pPr>
      <w:r>
        <w:rPr>
          <w:rFonts w:hint="eastAsia"/>
        </w:rPr>
        <w:t>停车场（库）采用错时停车方式向社会开放，得1分；</w:t>
      </w:r>
    </w:p>
    <w:p w14:paraId="2229B8DF">
      <w:pPr>
        <w:pStyle w:val="175"/>
      </w:pPr>
      <w:r>
        <w:rPr>
          <w:rFonts w:hint="eastAsia"/>
        </w:rPr>
        <w:t>提供休憩设施及公共卫生间等公共设施，得1分。</w:t>
      </w:r>
    </w:p>
    <w:p w14:paraId="7E0591B9">
      <w:pPr>
        <w:pStyle w:val="165"/>
        <w:rPr>
          <w:rFonts w:ascii="Times New Roman"/>
        </w:rPr>
      </w:pPr>
      <w:r>
        <w:t>办事大厅、对外窗口等提供优质便捷的公共服务，评价总分值为</w:t>
      </w:r>
      <w:r>
        <w:rPr>
          <w:rFonts w:hint="eastAsia" w:ascii="Times New Roman"/>
        </w:rPr>
        <w:t>2</w:t>
      </w:r>
      <w:r>
        <w:t>分，并按下列规则分别评分并累计：</w:t>
      </w:r>
    </w:p>
    <w:p w14:paraId="3191F77F">
      <w:pPr>
        <w:pStyle w:val="175"/>
        <w:numPr>
          <w:ilvl w:val="0"/>
          <w:numId w:val="61"/>
        </w:numPr>
      </w:pPr>
      <w:r>
        <w:rPr>
          <w:rFonts w:hint="eastAsia"/>
        </w:rPr>
        <w:t>等候休息区设置座椅、饮水机、资料宣传索取架等便民服务设施，得1分；</w:t>
      </w:r>
    </w:p>
    <w:p w14:paraId="40E9197A">
      <w:pPr>
        <w:pStyle w:val="175"/>
      </w:pPr>
      <w:r>
        <w:rPr>
          <w:rFonts w:hint="eastAsia"/>
        </w:rPr>
        <w:t>利用排队叫号机、窗口显示屏等，实现服务信息智能精准、便捷获取，得1分。</w:t>
      </w:r>
    </w:p>
    <w:p w14:paraId="593CD430">
      <w:pPr>
        <w:pStyle w:val="165"/>
        <w:rPr>
          <w:rFonts w:ascii="Times New Roman"/>
        </w:rPr>
      </w:pPr>
      <w:r>
        <w:rPr>
          <w:rFonts w:hint="eastAsia"/>
        </w:rPr>
        <w:t>提高办事效率和服务水平</w:t>
      </w:r>
      <w:r>
        <w:t>，评价总分值为</w:t>
      </w:r>
      <w:r>
        <w:rPr>
          <w:rFonts w:hint="eastAsia" w:ascii="Times New Roman"/>
        </w:rPr>
        <w:t>2</w:t>
      </w:r>
      <w:r>
        <w:t>分，并按下列规则分别评分并累计：</w:t>
      </w:r>
    </w:p>
    <w:p w14:paraId="2D62C02C">
      <w:pPr>
        <w:pStyle w:val="175"/>
        <w:numPr>
          <w:ilvl w:val="0"/>
          <w:numId w:val="62"/>
        </w:numPr>
      </w:pPr>
      <w:r>
        <w:rPr>
          <w:rFonts w:hint="eastAsia"/>
        </w:rPr>
        <w:t>利用微信、APP、网站等信息化手段，搭建便民在线服务平台，得1分；</w:t>
      </w:r>
    </w:p>
    <w:p w14:paraId="03E9A62B">
      <w:pPr>
        <w:pStyle w:val="175"/>
      </w:pPr>
      <w:r>
        <w:rPr>
          <w:rFonts w:hint="eastAsia"/>
        </w:rPr>
        <w:t>定期开展群众满意度调查和征集服务改进意见，优化和提升公共服务水平，得1分。</w:t>
      </w:r>
    </w:p>
    <w:p w14:paraId="10D8FA68">
      <w:pPr>
        <w:pStyle w:val="105"/>
        <w:spacing w:before="312" w:after="312"/>
        <w:rPr>
          <w:rFonts w:ascii="Times New Roman"/>
          <w:szCs w:val="21"/>
        </w:rPr>
      </w:pPr>
      <w:bookmarkStart w:id="61" w:name="_Toc20548"/>
      <w:r>
        <w:rPr>
          <w:rFonts w:hint="eastAsia"/>
        </w:rPr>
        <w:t>低碳引导</w:t>
      </w:r>
      <w:bookmarkEnd w:id="61"/>
      <w:r>
        <w:rPr>
          <w:rFonts w:hint="eastAsia" w:ascii="Times New Roman"/>
        </w:rPr>
        <w:t xml:space="preserve">  </w:t>
      </w:r>
    </w:p>
    <w:p w14:paraId="587CC4F3">
      <w:pPr>
        <w:pStyle w:val="106"/>
        <w:spacing w:before="156" w:after="156"/>
        <w:rPr>
          <w:rFonts w:ascii="Times New Roman"/>
        </w:rPr>
      </w:pPr>
      <w:bookmarkStart w:id="62" w:name="_Toc28505"/>
      <w:r>
        <w:t>控制项</w:t>
      </w:r>
      <w:bookmarkEnd w:id="62"/>
    </w:p>
    <w:p w14:paraId="100911CB">
      <w:pPr>
        <w:pStyle w:val="57"/>
        <w:ind w:firstLine="420"/>
      </w:pPr>
      <w:r>
        <w:rPr>
          <w:rFonts w:hint="eastAsia"/>
        </w:rPr>
        <w:t>应定期对碳排放量进行统计，并与上一年度或相同功能公共机构进行对比分析。</w:t>
      </w:r>
    </w:p>
    <w:p w14:paraId="74B7A2CE">
      <w:pPr>
        <w:pStyle w:val="106"/>
        <w:spacing w:before="156" w:after="156"/>
        <w:rPr>
          <w:rFonts w:ascii="Times New Roman"/>
          <w:szCs w:val="21"/>
        </w:rPr>
      </w:pPr>
      <w:bookmarkStart w:id="63" w:name="_Toc1739"/>
      <w:r>
        <w:t>评分项</w:t>
      </w:r>
      <w:bookmarkEnd w:id="63"/>
    </w:p>
    <w:p w14:paraId="11EB61FB">
      <w:pPr>
        <w:pStyle w:val="66"/>
        <w:spacing w:before="156" w:after="156"/>
        <w:rPr>
          <w:szCs w:val="21"/>
        </w:rPr>
      </w:pPr>
      <w:r>
        <w:rPr>
          <w:rFonts w:hint="eastAsia"/>
        </w:rPr>
        <w:t>建筑电气化</w:t>
      </w:r>
    </w:p>
    <w:p w14:paraId="4452C291">
      <w:pPr>
        <w:pStyle w:val="57"/>
        <w:ind w:firstLine="420"/>
        <w:rPr>
          <w:rFonts w:ascii="Times New Roman"/>
        </w:rPr>
      </w:pPr>
      <w:r>
        <w:rPr>
          <w:rFonts w:hint="eastAsia"/>
        </w:rPr>
        <w:t>炊事、生活热水、供暖等实现电气化，每项得</w:t>
      </w:r>
      <w:r>
        <w:rPr>
          <w:rFonts w:hint="eastAsia" w:ascii="Times New Roman"/>
        </w:rPr>
        <w:t>0.5</w:t>
      </w:r>
      <w:r>
        <w:rPr>
          <w:rFonts w:hint="eastAsia"/>
        </w:rPr>
        <w:t>分，最高得</w:t>
      </w:r>
      <w:r>
        <w:rPr>
          <w:rFonts w:hint="eastAsia" w:ascii="Times New Roman"/>
        </w:rPr>
        <w:t>1</w:t>
      </w:r>
      <w:r>
        <w:rPr>
          <w:rFonts w:hint="eastAsia"/>
        </w:rPr>
        <w:t>分。</w:t>
      </w:r>
    </w:p>
    <w:p w14:paraId="0B08DBBD">
      <w:pPr>
        <w:pStyle w:val="66"/>
        <w:spacing w:before="156" w:after="156"/>
        <w:rPr>
          <w:szCs w:val="21"/>
        </w:rPr>
      </w:pPr>
      <w:r>
        <w:rPr>
          <w:rFonts w:hint="eastAsia"/>
        </w:rPr>
        <w:t>低碳能源</w:t>
      </w:r>
    </w:p>
    <w:p w14:paraId="08FADA53">
      <w:pPr>
        <w:pStyle w:val="165"/>
        <w:rPr>
          <w:rFonts w:ascii="Times New Roman"/>
          <w:szCs w:val="21"/>
        </w:rPr>
      </w:pPr>
      <w:r>
        <w:rPr>
          <w:rFonts w:hint="eastAsia"/>
        </w:rPr>
        <w:t>使用可再生能源、余热废热资源，评价总分值为</w:t>
      </w:r>
      <w:r>
        <w:rPr>
          <w:rFonts w:hint="eastAsia" w:ascii="Times New Roman"/>
        </w:rPr>
        <w:t>2</w:t>
      </w:r>
      <w:r>
        <w:rPr>
          <w:rFonts w:hint="eastAsia"/>
        </w:rPr>
        <w:t>分，</w:t>
      </w:r>
      <w:r>
        <w:t>并按下列规则分别评分并累计：</w:t>
      </w:r>
    </w:p>
    <w:p w14:paraId="2D982031">
      <w:pPr>
        <w:pStyle w:val="175"/>
        <w:numPr>
          <w:ilvl w:val="0"/>
          <w:numId w:val="63"/>
        </w:numPr>
      </w:pPr>
      <w:r>
        <w:rPr>
          <w:rFonts w:hint="eastAsia"/>
        </w:rPr>
        <w:t>采用可再生能源电力，或生活热水、供暖空调采用可再生能源或余热废热资源得1分；</w:t>
      </w:r>
    </w:p>
    <w:p w14:paraId="3765CB4C">
      <w:pPr>
        <w:pStyle w:val="175"/>
      </w:pPr>
      <w:r>
        <w:rPr>
          <w:rFonts w:hint="eastAsia"/>
        </w:rPr>
        <w:t>可再生能源电力替代率达到2%得1分。再生能源电力替代率的计算方法</w:t>
      </w:r>
      <w:r>
        <w:rPr>
          <w:rFonts w:hint="eastAsia"/>
          <w:color w:val="000000" w:themeColor="text1"/>
          <w14:textFill>
            <w14:solidFill>
              <w14:schemeClr w14:val="tx1"/>
            </w14:solidFill>
          </w14:textFill>
        </w:rPr>
        <w:t>参见附录B。</w:t>
      </w:r>
    </w:p>
    <w:p w14:paraId="01936685">
      <w:pPr>
        <w:pStyle w:val="165"/>
        <w:rPr>
          <w:rFonts w:ascii="Times New Roman"/>
        </w:rPr>
      </w:pPr>
      <w:r>
        <w:rPr>
          <w:rFonts w:hint="eastAsia"/>
        </w:rPr>
        <w:t>采用购买绿证或绿色电力交易等途径实现零碳电力消费，得</w:t>
      </w:r>
      <w:r>
        <w:rPr>
          <w:rFonts w:hint="eastAsia" w:ascii="Times New Roman"/>
        </w:rPr>
        <w:t>1</w:t>
      </w:r>
      <w:r>
        <w:rPr>
          <w:rFonts w:hint="eastAsia"/>
        </w:rPr>
        <w:t>分。</w:t>
      </w:r>
    </w:p>
    <w:p w14:paraId="42507F9C">
      <w:pPr>
        <w:pStyle w:val="66"/>
        <w:spacing w:before="156" w:after="156"/>
        <w:rPr>
          <w:szCs w:val="21"/>
        </w:rPr>
      </w:pPr>
      <w:r>
        <w:rPr>
          <w:rFonts w:hint="eastAsia"/>
        </w:rPr>
        <w:t>交通电气化</w:t>
      </w:r>
    </w:p>
    <w:p w14:paraId="52BA5955">
      <w:pPr>
        <w:pStyle w:val="57"/>
        <w:ind w:firstLine="420"/>
        <w:rPr>
          <w:rFonts w:ascii="Times New Roman"/>
          <w:szCs w:val="21"/>
        </w:rPr>
      </w:pPr>
      <w:r>
        <w:rPr>
          <w:rFonts w:hint="eastAsia"/>
          <w:color w:val="000000" w:themeColor="text1"/>
          <w14:textFill>
            <w14:solidFill>
              <w14:schemeClr w14:val="tx1"/>
            </w14:solidFill>
          </w14:textFill>
        </w:rPr>
        <w:t>推广应用新能源汽车</w:t>
      </w:r>
      <w:r>
        <w:rPr>
          <w:rFonts w:hint="eastAsia"/>
        </w:rPr>
        <w:t>评价总分值为</w:t>
      </w:r>
      <w:r>
        <w:rPr>
          <w:rFonts w:hint="eastAsia" w:ascii="Times New Roman"/>
        </w:rPr>
        <w:t>2</w:t>
      </w:r>
      <w:r>
        <w:rPr>
          <w:rFonts w:hint="eastAsia"/>
        </w:rPr>
        <w:t>分，并按下列规则分别评分并累计：</w:t>
      </w:r>
    </w:p>
    <w:p w14:paraId="4BF18A82">
      <w:pPr>
        <w:pStyle w:val="175"/>
        <w:numPr>
          <w:ilvl w:val="0"/>
          <w:numId w:val="64"/>
        </w:numPr>
      </w:pPr>
      <w:r>
        <w:rPr>
          <w:rFonts w:hint="eastAsia"/>
        </w:rPr>
        <w:t>公务用车使用新能源汽车，得0.5分；</w:t>
      </w:r>
    </w:p>
    <w:p w14:paraId="2884EBE5">
      <w:pPr>
        <w:pStyle w:val="175"/>
      </w:pPr>
      <w:r>
        <w:rPr>
          <w:rFonts w:hint="eastAsia"/>
        </w:rPr>
        <w:t>电动汽车专用停车位和充电基础设施配套比例不低于10%，得1分；</w:t>
      </w:r>
    </w:p>
    <w:p w14:paraId="1BB971E0">
      <w:pPr>
        <w:pStyle w:val="175"/>
        <w:rPr>
          <w:kern w:val="2"/>
          <w:szCs w:val="21"/>
        </w:rPr>
      </w:pPr>
      <w:r>
        <w:rPr>
          <w:rFonts w:hint="eastAsia"/>
        </w:rPr>
        <w:t xml:space="preserve">内部充电设施设备向公众开放得0.5分。   </w:t>
      </w:r>
    </w:p>
    <w:p w14:paraId="5B4F008A">
      <w:pPr>
        <w:pStyle w:val="66"/>
        <w:spacing w:before="156" w:after="156"/>
        <w:rPr>
          <w:szCs w:val="21"/>
        </w:rPr>
      </w:pPr>
      <w:r>
        <w:rPr>
          <w:rFonts w:hint="eastAsia"/>
        </w:rPr>
        <w:t>建筑负荷调节</w:t>
      </w:r>
    </w:p>
    <w:p w14:paraId="6FA639FB">
      <w:pPr>
        <w:pStyle w:val="57"/>
        <w:ind w:firstLine="420"/>
        <w:rPr>
          <w:rFonts w:ascii="Times New Roman"/>
          <w:szCs w:val="21"/>
        </w:rPr>
      </w:pPr>
      <w:r>
        <w:rPr>
          <w:rFonts w:hint="eastAsia"/>
        </w:rPr>
        <w:t>具备一定的建筑负荷调节能力，评价总分值为</w:t>
      </w:r>
      <w:r>
        <w:rPr>
          <w:rFonts w:hint="eastAsia" w:ascii="Times New Roman"/>
        </w:rPr>
        <w:t>2</w:t>
      </w:r>
      <w:r>
        <w:rPr>
          <w:rFonts w:hint="eastAsia"/>
        </w:rPr>
        <w:t>分，</w:t>
      </w:r>
      <w:r>
        <w:t>并按下列规则分别评分并累计：</w:t>
      </w:r>
    </w:p>
    <w:p w14:paraId="0C681C20">
      <w:pPr>
        <w:pStyle w:val="175"/>
        <w:numPr>
          <w:ilvl w:val="0"/>
          <w:numId w:val="65"/>
        </w:numPr>
      </w:pPr>
      <w:r>
        <w:rPr>
          <w:rFonts w:hint="eastAsia"/>
        </w:rPr>
        <w:t>采用储电调蓄设施，得0.5分；</w:t>
      </w:r>
    </w:p>
    <w:p w14:paraId="5DF3DB6C">
      <w:pPr>
        <w:pStyle w:val="175"/>
      </w:pPr>
      <w:r>
        <w:rPr>
          <w:rFonts w:hint="eastAsia"/>
        </w:rPr>
        <w:t>采用蓄冷、蓄热设施，且释放的蓄冷或蓄热量能够满足高峰时段用冷、用热需求，得0.5分；</w:t>
      </w:r>
    </w:p>
    <w:p w14:paraId="7056D257">
      <w:pPr>
        <w:pStyle w:val="175"/>
      </w:pPr>
      <w:r>
        <w:rPr>
          <w:rFonts w:hint="eastAsia"/>
        </w:rPr>
        <w:t>设置具备BVB（Building to vehicle to building，建筑电动车交互）技术的充电桩，得1分。</w:t>
      </w:r>
    </w:p>
    <w:p w14:paraId="4ED8FD34">
      <w:pPr>
        <w:pStyle w:val="66"/>
        <w:spacing w:before="156" w:after="156"/>
      </w:pPr>
      <w:r>
        <w:rPr>
          <w:rFonts w:hint="eastAsia"/>
        </w:rPr>
        <w:t>绿容率</w:t>
      </w:r>
    </w:p>
    <w:p w14:paraId="7AB86388">
      <w:pPr>
        <w:pStyle w:val="57"/>
        <w:ind w:firstLine="420"/>
        <w:rPr>
          <w:rFonts w:ascii="Times New Roman"/>
          <w:color w:val="000000" w:themeColor="text1"/>
          <w:szCs w:val="21"/>
          <w14:textFill>
            <w14:solidFill>
              <w14:schemeClr w14:val="tx1"/>
            </w14:solidFill>
          </w14:textFill>
        </w:rPr>
      </w:pPr>
      <w:r>
        <w:rPr>
          <w:rFonts w:hint="eastAsia"/>
          <w:color w:val="000000" w:themeColor="text1"/>
          <w14:textFill>
            <w14:solidFill>
              <w14:schemeClr w14:val="tx1"/>
            </w14:solidFill>
          </w14:textFill>
        </w:rPr>
        <w:t>场地绿容率达到</w:t>
      </w:r>
      <w:r>
        <w:rPr>
          <w:rFonts w:hint="eastAsia" w:ascii="Times New Roman"/>
          <w:color w:val="000000" w:themeColor="text1"/>
          <w14:textFill>
            <w14:solidFill>
              <w14:schemeClr w14:val="tx1"/>
            </w14:solidFill>
          </w14:textFill>
        </w:rPr>
        <w:t>0</w:t>
      </w:r>
      <w:r>
        <w:rPr>
          <w:rFonts w:asci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得</w:t>
      </w:r>
      <w:r>
        <w:rPr>
          <w:rFonts w:hint="eastAsia" w:ascii="Times New Roman"/>
          <w:color w:val="000000" w:themeColor="text1"/>
          <w14:textFill>
            <w14:solidFill>
              <w14:schemeClr w14:val="tx1"/>
            </w14:solidFill>
          </w14:textFill>
        </w:rPr>
        <w:t>0.5</w:t>
      </w:r>
      <w:r>
        <w:rPr>
          <w:rFonts w:hint="eastAsia"/>
          <w:color w:val="000000" w:themeColor="text1"/>
          <w14:textFill>
            <w14:solidFill>
              <w14:schemeClr w14:val="tx1"/>
            </w14:solidFill>
          </w14:textFill>
        </w:rPr>
        <w:t>分，达到</w:t>
      </w:r>
      <w:r>
        <w:rPr>
          <w:rFonts w:hint="eastAsia" w:ascii="Times New Roman"/>
          <w:color w:val="000000" w:themeColor="text1"/>
          <w14:textFill>
            <w14:solidFill>
              <w14:schemeClr w14:val="tx1"/>
            </w14:solidFill>
          </w14:textFill>
        </w:rPr>
        <w:t>0</w:t>
      </w:r>
      <w:r>
        <w:rPr>
          <w:rFonts w:asci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得</w:t>
      </w:r>
      <w:r>
        <w:rPr>
          <w:rFonts w:hint="eastAsia" w:asci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分。绿容率的计算参见附录a.</w:t>
      </w:r>
    </w:p>
    <w:p w14:paraId="38E1AD89">
      <w:pPr>
        <w:pStyle w:val="66"/>
        <w:spacing w:before="156" w:after="156"/>
        <w:rPr>
          <w:szCs w:val="21"/>
        </w:rPr>
      </w:pPr>
      <w:r>
        <w:rPr>
          <w:rFonts w:hint="eastAsia"/>
        </w:rPr>
        <w:t>低碳信息服务</w:t>
      </w:r>
    </w:p>
    <w:p w14:paraId="3B17A185">
      <w:pPr>
        <w:pStyle w:val="57"/>
        <w:ind w:firstLine="420"/>
        <w:rPr>
          <w:rFonts w:ascii="Times New Roman"/>
        </w:rPr>
      </w:pPr>
      <w:r>
        <w:rPr>
          <w:rFonts w:hint="eastAsia"/>
        </w:rPr>
        <w:t>开发绿色低碳信息服务平台，定期推送绿色低碳相关知识、活动消息等讯息，得</w:t>
      </w:r>
      <w:r>
        <w:rPr>
          <w:rFonts w:hint="eastAsia" w:ascii="Times New Roman"/>
        </w:rPr>
        <w:t>1</w:t>
      </w:r>
      <w:r>
        <w:rPr>
          <w:rFonts w:hint="eastAsia"/>
        </w:rPr>
        <w:t>分。</w:t>
      </w:r>
    </w:p>
    <w:p w14:paraId="62EA6000">
      <w:pPr>
        <w:pStyle w:val="105"/>
        <w:spacing w:before="312" w:after="312"/>
        <w:rPr>
          <w:rFonts w:ascii="Times New Roman"/>
          <w:szCs w:val="21"/>
        </w:rPr>
      </w:pPr>
      <w:bookmarkStart w:id="64" w:name="_Toc29582"/>
      <w:r>
        <w:t>特性评价</w:t>
      </w:r>
      <w:bookmarkEnd w:id="64"/>
    </w:p>
    <w:p w14:paraId="67E36C0B">
      <w:pPr>
        <w:pStyle w:val="106"/>
        <w:spacing w:before="156" w:after="156"/>
        <w:rPr>
          <w:rFonts w:ascii="Times New Roman"/>
          <w:szCs w:val="21"/>
        </w:rPr>
      </w:pPr>
      <w:bookmarkStart w:id="65" w:name="_Toc8300"/>
      <w:r>
        <w:t>机关</w:t>
      </w:r>
      <w:r>
        <w:rPr>
          <w:rFonts w:hint="eastAsia"/>
        </w:rPr>
        <w:t>办公</w:t>
      </w:r>
      <w:bookmarkEnd w:id="65"/>
    </w:p>
    <w:p w14:paraId="59C53059">
      <w:pPr>
        <w:pStyle w:val="166"/>
        <w:rPr>
          <w:rFonts w:ascii="Times New Roman"/>
          <w:color w:val="000000" w:themeColor="text1"/>
          <w:szCs w:val="21"/>
          <w14:textFill>
            <w14:solidFill>
              <w14:schemeClr w14:val="tx1"/>
            </w14:solidFill>
          </w14:textFill>
        </w:rPr>
      </w:pPr>
      <w:r>
        <w:rPr>
          <w:color w:val="000000" w:themeColor="text1"/>
          <w14:textFill>
            <w14:solidFill>
              <w14:schemeClr w14:val="tx1"/>
            </w14:solidFill>
          </w14:textFill>
        </w:rPr>
        <w:t>厉行</w:t>
      </w:r>
      <w:r>
        <w:rPr>
          <w:rFonts w:hint="eastAsia"/>
          <w:color w:val="000000" w:themeColor="text1"/>
          <w14:textFill>
            <w14:solidFill>
              <w14:schemeClr w14:val="tx1"/>
            </w14:solidFill>
          </w14:textFill>
        </w:rPr>
        <w:t>绿色</w:t>
      </w:r>
      <w:r>
        <w:rPr>
          <w:color w:val="000000" w:themeColor="text1"/>
          <w14:textFill>
            <w14:solidFill>
              <w14:schemeClr w14:val="tx1"/>
            </w14:solidFill>
          </w14:textFill>
        </w:rPr>
        <w:t>办公措施，评价总分值为</w:t>
      </w:r>
      <w:r>
        <w:rPr>
          <w:rFonts w:hint="eastAsia" w:ascii="Times New Roman"/>
          <w:color w:val="000000" w:themeColor="text1"/>
          <w14:textFill>
            <w14:solidFill>
              <w14:schemeClr w14:val="tx1"/>
            </w14:solidFill>
          </w14:textFill>
        </w:rPr>
        <w:t>1.5</w:t>
      </w:r>
      <w:r>
        <w:rPr>
          <w:color w:val="000000" w:themeColor="text1"/>
          <w14:textFill>
            <w14:solidFill>
              <w14:schemeClr w14:val="tx1"/>
            </w14:solidFill>
          </w14:textFill>
        </w:rPr>
        <w:t>分，并按下列规则分别评分并累计：</w:t>
      </w:r>
    </w:p>
    <w:p w14:paraId="4FFA0B24">
      <w:pPr>
        <w:pStyle w:val="175"/>
        <w:numPr>
          <w:ilvl w:val="0"/>
          <w:numId w:val="66"/>
        </w:numPr>
        <w:rPr>
          <w:color w:val="000000" w:themeColor="text1"/>
          <w14:textFill>
            <w14:solidFill>
              <w14:schemeClr w14:val="tx1"/>
            </w14:solidFill>
          </w14:textFill>
        </w:rPr>
      </w:pPr>
      <w:r>
        <w:rPr>
          <w:rFonts w:hint="eastAsia"/>
          <w:color w:val="000000" w:themeColor="text1"/>
          <w14:textFill>
            <w14:solidFill>
              <w14:schemeClr w14:val="tx1"/>
            </w14:solidFill>
          </w14:textFill>
        </w:rPr>
        <w:t>推行纸张双面打印和无纸化办公，得1分；</w:t>
      </w:r>
    </w:p>
    <w:p w14:paraId="05737FDC">
      <w:pPr>
        <w:pStyle w:val="175"/>
        <w:rPr>
          <w:color w:val="000000" w:themeColor="text1"/>
          <w14:textFill>
            <w14:solidFill>
              <w14:schemeClr w14:val="tx1"/>
            </w14:solidFill>
          </w14:textFill>
        </w:rPr>
      </w:pPr>
      <w:r>
        <w:rPr>
          <w:rFonts w:hint="eastAsia"/>
          <w:color w:val="000000" w:themeColor="text1"/>
          <w14:textFill>
            <w14:solidFill>
              <w14:schemeClr w14:val="tx1"/>
            </w14:solidFill>
          </w14:textFill>
        </w:rPr>
        <w:t>推广环保再生纸、再生铅笔、再生鼓粉盒等资源再生办公用品，得0.5分。</w:t>
      </w:r>
    </w:p>
    <w:p w14:paraId="5EAB4637">
      <w:pPr>
        <w:pStyle w:val="166"/>
        <w:rPr>
          <w:rFonts w:ascii="Times New Roman"/>
        </w:rPr>
      </w:pPr>
      <w:r>
        <w:rPr>
          <w:rFonts w:hint="eastAsia"/>
          <w:color w:val="000000" w:themeColor="text1"/>
          <w14:textFill>
            <w14:solidFill>
              <w14:schemeClr w14:val="tx1"/>
            </w14:solidFill>
          </w14:textFill>
        </w:rPr>
        <w:t>采购列入《节能产品政府采购清单》、《环境标志产品政府采购清单》的产品和能效“领跑者”</w:t>
      </w:r>
      <w:r>
        <w:rPr>
          <w:rFonts w:hint="eastAsia"/>
        </w:rPr>
        <w:t>产品，得</w:t>
      </w:r>
      <w:r>
        <w:rPr>
          <w:rFonts w:ascii="Times New Roman"/>
        </w:rPr>
        <w:t>1</w:t>
      </w:r>
      <w:r>
        <w:rPr>
          <w:rFonts w:hint="eastAsia" w:ascii="Times New Roman"/>
        </w:rPr>
        <w:t>.5</w:t>
      </w:r>
      <w:r>
        <w:rPr>
          <w:rFonts w:hint="eastAsia"/>
        </w:rPr>
        <w:t>分。</w:t>
      </w:r>
    </w:p>
    <w:p w14:paraId="185BAA7F">
      <w:pPr>
        <w:pStyle w:val="166"/>
        <w:rPr>
          <w:rFonts w:ascii="Times New Roman"/>
        </w:rPr>
      </w:pPr>
      <w:r>
        <w:t>执行办公资产管理规定，</w:t>
      </w:r>
      <w:r>
        <w:rPr>
          <w:rFonts w:hint="eastAsia"/>
        </w:rPr>
        <w:t>优化办公家具、设备等配置，</w:t>
      </w:r>
      <w:r>
        <w:t>评价总分值为</w:t>
      </w:r>
      <w:r>
        <w:rPr>
          <w:rFonts w:hint="eastAsia" w:ascii="Times New Roman"/>
        </w:rPr>
        <w:t>1</w:t>
      </w:r>
      <w:r>
        <w:t>分，并按下列规则分别评分并累计：</w:t>
      </w:r>
    </w:p>
    <w:p w14:paraId="3097B57B">
      <w:pPr>
        <w:pStyle w:val="175"/>
        <w:numPr>
          <w:ilvl w:val="0"/>
          <w:numId w:val="67"/>
        </w:numPr>
      </w:pPr>
      <w:r>
        <w:rPr>
          <w:rFonts w:hint="eastAsia"/>
        </w:rPr>
        <w:t>建立健全资产管理制度，严格控制办公家具、办公用品淘汰与购置，得0.5分；</w:t>
      </w:r>
    </w:p>
    <w:p w14:paraId="2EE9746A">
      <w:pPr>
        <w:pStyle w:val="175"/>
      </w:pPr>
      <w:r>
        <w:rPr>
          <w:rFonts w:hint="eastAsia"/>
        </w:rPr>
        <w:t>在不影响使用的情况下，重复利用使用老旧的办公家具，得0.5分；</w:t>
      </w:r>
    </w:p>
    <w:p w14:paraId="10C7E690">
      <w:pPr>
        <w:pStyle w:val="166"/>
        <w:rPr>
          <w:rFonts w:ascii="Times New Roman"/>
        </w:rPr>
      </w:pPr>
      <w:r>
        <w:t>夏季</w:t>
      </w:r>
      <w:r>
        <w:rPr>
          <w:rFonts w:hint="eastAsia"/>
        </w:rPr>
        <w:t>空调</w:t>
      </w:r>
      <w:r>
        <w:t>设定温度不</w:t>
      </w:r>
      <w:r>
        <w:rPr>
          <w:rFonts w:hint="eastAsia"/>
        </w:rPr>
        <w:t>应</w:t>
      </w:r>
      <w:r>
        <w:t>低于</w:t>
      </w:r>
      <w:r>
        <w:rPr>
          <w:rFonts w:ascii="Times New Roman"/>
        </w:rPr>
        <w:t>26</w:t>
      </w:r>
      <w:r>
        <w:rPr>
          <w:rFonts w:hint="eastAsia" w:ascii="Times New Roman"/>
        </w:rPr>
        <w:t xml:space="preserve"> </w:t>
      </w:r>
      <w:r>
        <w:rPr>
          <w:rFonts w:hint="eastAsia" w:hAnsi="宋体"/>
        </w:rPr>
        <w:t>℃</w:t>
      </w:r>
      <w:r>
        <w:t>、冬季</w:t>
      </w:r>
      <w:r>
        <w:rPr>
          <w:rFonts w:hint="eastAsia"/>
        </w:rPr>
        <w:t>供暖设定温度</w:t>
      </w:r>
      <w:r>
        <w:t>不</w:t>
      </w:r>
      <w:r>
        <w:rPr>
          <w:rFonts w:hint="eastAsia"/>
        </w:rPr>
        <w:t>应</w:t>
      </w:r>
      <w:r>
        <w:t>高于</w:t>
      </w:r>
      <w:r>
        <w:rPr>
          <w:rFonts w:ascii="Times New Roman"/>
        </w:rPr>
        <w:t>20</w:t>
      </w:r>
      <w:r>
        <w:rPr>
          <w:rFonts w:hint="eastAsia" w:ascii="Times New Roman"/>
        </w:rPr>
        <w:t xml:space="preserve"> </w:t>
      </w:r>
      <w:r>
        <w:rPr>
          <w:rFonts w:hint="eastAsia" w:hAnsi="宋体"/>
        </w:rPr>
        <w:t>℃</w:t>
      </w:r>
      <w:r>
        <w:rPr>
          <w:rFonts w:hint="eastAsia"/>
        </w:rPr>
        <w:t>，得</w:t>
      </w:r>
      <w:r>
        <w:rPr>
          <w:rFonts w:hint="eastAsia" w:ascii="Times New Roman"/>
        </w:rPr>
        <w:t>1</w:t>
      </w:r>
      <w:r>
        <w:rPr>
          <w:rFonts w:hint="eastAsia"/>
        </w:rPr>
        <w:t>分</w:t>
      </w:r>
      <w:r>
        <w:t>。</w:t>
      </w:r>
    </w:p>
    <w:p w14:paraId="231E2233">
      <w:pPr>
        <w:pStyle w:val="106"/>
        <w:spacing w:before="156" w:after="156"/>
        <w:rPr>
          <w:rFonts w:ascii="Times New Roman"/>
          <w:szCs w:val="21"/>
        </w:rPr>
      </w:pPr>
      <w:bookmarkStart w:id="66" w:name="_Toc23309"/>
      <w:r>
        <w:t>医院</w:t>
      </w:r>
      <w:bookmarkEnd w:id="66"/>
    </w:p>
    <w:p w14:paraId="7698EBD8">
      <w:pPr>
        <w:pStyle w:val="166"/>
      </w:pPr>
      <w:r>
        <w:rPr>
          <w:rFonts w:hint="eastAsia"/>
        </w:rPr>
        <w:t>将节能工作纳入对科室的绩效考核，得1分。</w:t>
      </w:r>
    </w:p>
    <w:p w14:paraId="6664CFEE">
      <w:pPr>
        <w:pStyle w:val="166"/>
      </w:pPr>
      <w:r>
        <w:rPr>
          <w:rFonts w:hint="eastAsia"/>
        </w:rPr>
        <w:t>开展空调通风系统检查和清洗，定期更换空调通风系统过滤器, 得1分。</w:t>
      </w:r>
    </w:p>
    <w:p w14:paraId="67A62074">
      <w:pPr>
        <w:pStyle w:val="166"/>
        <w:rPr>
          <w:rFonts w:ascii="Times New Roman"/>
        </w:rPr>
      </w:pPr>
      <w:r>
        <w:rPr>
          <w:rFonts w:hint="eastAsia"/>
        </w:rPr>
        <w:t>加强医疗废物管理</w:t>
      </w:r>
      <w:r>
        <w:t>，</w:t>
      </w:r>
      <w:r>
        <w:rPr>
          <w:rFonts w:hint="eastAsia"/>
        </w:rPr>
        <w:t>各项管理制度和实施措施符合医疗废物管理条例的规定，得</w:t>
      </w:r>
      <w:r>
        <w:rPr>
          <w:rFonts w:hint="eastAsia" w:ascii="Times New Roman"/>
        </w:rPr>
        <w:t>1</w:t>
      </w:r>
      <w:r>
        <w:t>分</w:t>
      </w:r>
      <w:r>
        <w:rPr>
          <w:rFonts w:hint="eastAsia"/>
        </w:rPr>
        <w:t>。</w:t>
      </w:r>
    </w:p>
    <w:p w14:paraId="6CF9CCB7">
      <w:pPr>
        <w:pStyle w:val="166"/>
        <w:rPr>
          <w:rFonts w:ascii="Times New Roman"/>
        </w:rPr>
      </w:pPr>
      <w:r>
        <w:rPr>
          <w:rFonts w:hint="eastAsia"/>
        </w:rPr>
        <w:t>应对病房、食堂等区域采取节约用水管理措施，得</w:t>
      </w:r>
      <w:r>
        <w:rPr>
          <w:rFonts w:hint="eastAsia" w:ascii="Times New Roman"/>
        </w:rPr>
        <w:t>1</w:t>
      </w:r>
      <w:r>
        <w:rPr>
          <w:rFonts w:hint="eastAsia"/>
        </w:rPr>
        <w:t>分。</w:t>
      </w:r>
    </w:p>
    <w:p w14:paraId="67FF6205">
      <w:pPr>
        <w:pStyle w:val="166"/>
        <w:rPr>
          <w:rFonts w:ascii="Times New Roman"/>
        </w:rPr>
      </w:pPr>
      <w:r>
        <w:rPr>
          <w:rFonts w:hint="eastAsia"/>
        </w:rPr>
        <w:t>门诊楼、住院楼中人员密度较高且随时间变化大的区域设置室内空气质量监控系统，得</w:t>
      </w:r>
      <w:r>
        <w:rPr>
          <w:rFonts w:hint="eastAsia" w:ascii="Times New Roman"/>
        </w:rPr>
        <w:t>1</w:t>
      </w:r>
      <w:r>
        <w:rPr>
          <w:rFonts w:hint="eastAsia"/>
        </w:rPr>
        <w:t>分。</w:t>
      </w:r>
    </w:p>
    <w:p w14:paraId="66B063CE">
      <w:pPr>
        <w:pStyle w:val="106"/>
        <w:spacing w:before="156" w:after="156"/>
        <w:rPr>
          <w:rFonts w:ascii="Times New Roman"/>
          <w:szCs w:val="21"/>
        </w:rPr>
      </w:pPr>
      <w:bookmarkStart w:id="67" w:name="_Toc22378"/>
      <w:r>
        <w:t>学校</w:t>
      </w:r>
      <w:bookmarkEnd w:id="67"/>
    </w:p>
    <w:p w14:paraId="77908EB5">
      <w:pPr>
        <w:pStyle w:val="166"/>
        <w:rPr>
          <w:rFonts w:ascii="Times New Roman"/>
        </w:rPr>
      </w:pPr>
      <w:r>
        <w:rPr>
          <w:rFonts w:hint="eastAsia"/>
        </w:rPr>
        <w:t>积极开展</w:t>
      </w:r>
      <w:r>
        <w:t>资源节约与环境保护宣传教育，评价总分值为</w:t>
      </w:r>
      <w:r>
        <w:rPr>
          <w:rFonts w:hint="eastAsia" w:ascii="Times New Roman"/>
        </w:rPr>
        <w:t>2</w:t>
      </w:r>
      <w:r>
        <w:t>分，并按下列规则分别评分并累计：</w:t>
      </w:r>
    </w:p>
    <w:p w14:paraId="2B173888">
      <w:pPr>
        <w:pStyle w:val="175"/>
        <w:numPr>
          <w:ilvl w:val="0"/>
          <w:numId w:val="68"/>
        </w:numPr>
      </w:pPr>
      <w:r>
        <w:rPr>
          <w:rFonts w:hint="eastAsia"/>
        </w:rPr>
        <w:t>有环境教育宣传栏及长期性、固定性环境教育标语，得0.5分；</w:t>
      </w:r>
    </w:p>
    <w:p w14:paraId="6717BAC3">
      <w:pPr>
        <w:pStyle w:val="175"/>
      </w:pPr>
      <w:r>
        <w:rPr>
          <w:rFonts w:hint="eastAsia"/>
        </w:rPr>
        <w:t>开设有关的理论、技术方法等方面教育内容的课程，普及和宣传相关知识，得0.5分；</w:t>
      </w:r>
    </w:p>
    <w:p w14:paraId="67A8C882">
      <w:pPr>
        <w:pStyle w:val="175"/>
      </w:pPr>
      <w:r>
        <w:rPr>
          <w:rFonts w:hint="eastAsia"/>
        </w:rPr>
        <w:t>近2年开展节能、节水等主题的学生活动，每次0.5分，满分1分。</w:t>
      </w:r>
    </w:p>
    <w:p w14:paraId="39E89A81">
      <w:pPr>
        <w:pStyle w:val="166"/>
      </w:pPr>
      <w:r>
        <w:rPr>
          <w:rFonts w:hint="eastAsia"/>
        </w:rPr>
        <w:t>浴室应采用计时、计流量等节约用水管理手段，得1分。</w:t>
      </w:r>
    </w:p>
    <w:p w14:paraId="081756FD">
      <w:pPr>
        <w:pStyle w:val="166"/>
      </w:pPr>
      <w:r>
        <w:rPr>
          <w:rFonts w:hint="eastAsia"/>
        </w:rPr>
        <w:t>针对计算机房、图书馆、体育馆、实验室等重点用能区域应采取专门的节能管理措施，得1分。</w:t>
      </w:r>
    </w:p>
    <w:p w14:paraId="430FD713">
      <w:pPr>
        <w:pStyle w:val="166"/>
      </w:pPr>
      <w:r>
        <w:rPr>
          <w:rFonts w:hint="eastAsia"/>
        </w:rPr>
        <w:t>对在资源节约领域开展科技创新和管理创新活动的个人、集体给予奖励和资金等方面的支持，得1分。</w:t>
      </w:r>
    </w:p>
    <w:p w14:paraId="1A1A1F08">
      <w:pPr>
        <w:pStyle w:val="106"/>
        <w:spacing w:before="156" w:after="156"/>
        <w:rPr>
          <w:rFonts w:ascii="Times New Roman"/>
          <w:szCs w:val="21"/>
        </w:rPr>
      </w:pPr>
      <w:bookmarkStart w:id="68" w:name="_Toc19913"/>
      <w:r>
        <w:t>场馆</w:t>
      </w:r>
      <w:bookmarkEnd w:id="68"/>
    </w:p>
    <w:p w14:paraId="2322CDC9">
      <w:pPr>
        <w:pStyle w:val="166"/>
      </w:pPr>
      <w:r>
        <w:rPr>
          <w:rFonts w:hint="eastAsia"/>
        </w:rPr>
        <w:t>合理组织人流、车流、物流，活动期间不影响周边道路交通，得</w:t>
      </w:r>
      <w:r>
        <w:rPr>
          <w:rFonts w:hint="eastAsia" w:ascii="Times New Roman"/>
        </w:rPr>
        <w:t>1</w:t>
      </w:r>
      <w:r>
        <w:t>分</w:t>
      </w:r>
      <w:r>
        <w:rPr>
          <w:rFonts w:hint="eastAsia"/>
        </w:rPr>
        <w:t>。</w:t>
      </w:r>
    </w:p>
    <w:p w14:paraId="54EE0492">
      <w:pPr>
        <w:pStyle w:val="166"/>
        <w:rPr>
          <w:rFonts w:ascii="Times New Roman"/>
        </w:rPr>
      </w:pPr>
      <w:r>
        <w:rPr>
          <w:rFonts w:hint="eastAsia"/>
        </w:rPr>
        <w:t>开展</w:t>
      </w:r>
      <w:r>
        <w:t>绿色环保理念宣传与实践</w:t>
      </w:r>
      <w:r>
        <w:rPr>
          <w:rFonts w:hint="eastAsia"/>
        </w:rPr>
        <w:t>活动</w:t>
      </w:r>
      <w:r>
        <w:t>，评价总分值为</w:t>
      </w:r>
      <w:r>
        <w:rPr>
          <w:rFonts w:hint="eastAsia" w:ascii="Times New Roman"/>
        </w:rPr>
        <w:t>1.5</w:t>
      </w:r>
      <w:r>
        <w:t>分，并按下列规则分别评分并累计：</w:t>
      </w:r>
    </w:p>
    <w:p w14:paraId="0CEB7598">
      <w:pPr>
        <w:pStyle w:val="175"/>
        <w:numPr>
          <w:ilvl w:val="0"/>
          <w:numId w:val="69"/>
        </w:numPr>
      </w:pPr>
      <w:r>
        <w:rPr>
          <w:rFonts w:hint="eastAsia"/>
        </w:rPr>
        <w:t>向参观人员提供绿色宣传资料，得1分；</w:t>
      </w:r>
    </w:p>
    <w:p w14:paraId="0F2C4ECC">
      <w:pPr>
        <w:pStyle w:val="175"/>
      </w:pPr>
      <w:r>
        <w:rPr>
          <w:rFonts w:hint="eastAsia"/>
        </w:rPr>
        <w:t>建立绿色布展管理机制，鼓励使用模块化、构件化的可再生、可循环板材，对搭建材料提出环保要求，得0.5分。</w:t>
      </w:r>
    </w:p>
    <w:p w14:paraId="696AB145">
      <w:pPr>
        <w:pStyle w:val="166"/>
      </w:pPr>
      <w:r>
        <w:rPr>
          <w:rFonts w:hint="eastAsia"/>
        </w:rPr>
        <w:t>根据不同区域冷热负荷需求，采取分时分区运行策略等节能运行措施，得0.5分。</w:t>
      </w:r>
    </w:p>
    <w:p w14:paraId="01099FDE">
      <w:pPr>
        <w:pStyle w:val="166"/>
      </w:pPr>
      <w:r>
        <w:rPr>
          <w:rFonts w:hint="eastAsia"/>
        </w:rPr>
        <w:t>采用智能化引导系统，实现场馆地图指引和功能区域查询，提升场馆综合服务，得1分。</w:t>
      </w:r>
    </w:p>
    <w:p w14:paraId="7D07B9E1">
      <w:pPr>
        <w:pStyle w:val="166"/>
      </w:pPr>
      <w:r>
        <w:rPr>
          <w:rFonts w:hint="eastAsia"/>
        </w:rPr>
        <w:t>采用网上预约、人脸身份识别、电子票等客流管理优化措施，得1分。</w:t>
      </w:r>
    </w:p>
    <w:p w14:paraId="092428A4">
      <w:pPr>
        <w:pStyle w:val="105"/>
        <w:spacing w:before="312" w:after="312"/>
        <w:rPr>
          <w:rFonts w:ascii="Times New Roman"/>
          <w:szCs w:val="21"/>
        </w:rPr>
      </w:pPr>
      <w:bookmarkStart w:id="69" w:name="_Toc6077"/>
      <w:r>
        <w:rPr>
          <w:rFonts w:hint="eastAsia"/>
        </w:rPr>
        <w:t>提高与创新</w:t>
      </w:r>
      <w:bookmarkEnd w:id="69"/>
    </w:p>
    <w:p w14:paraId="518558C2">
      <w:pPr>
        <w:pStyle w:val="106"/>
        <w:spacing w:before="156" w:after="156"/>
        <w:rPr>
          <w:rFonts w:ascii="Times New Roman"/>
        </w:rPr>
      </w:pPr>
      <w:bookmarkStart w:id="70" w:name="_Toc9310"/>
      <w:r>
        <w:rPr>
          <w:rFonts w:hint="eastAsia"/>
        </w:rPr>
        <w:t>非传统水源利用</w:t>
      </w:r>
      <w:bookmarkEnd w:id="70"/>
    </w:p>
    <w:p w14:paraId="25FE766F">
      <w:pPr>
        <w:pStyle w:val="57"/>
        <w:ind w:firstLine="420"/>
      </w:pPr>
      <w:r>
        <w:rPr>
          <w:rFonts w:hint="eastAsia"/>
        </w:rPr>
        <w:t>合理使用雨水、中水等非传统水源，得1分。</w:t>
      </w:r>
    </w:p>
    <w:p w14:paraId="78CA21B9">
      <w:pPr>
        <w:pStyle w:val="106"/>
        <w:spacing w:before="156" w:after="156"/>
        <w:rPr>
          <w:rFonts w:ascii="Times New Roman"/>
        </w:rPr>
      </w:pPr>
      <w:bookmarkStart w:id="71" w:name="_Toc10736"/>
      <w:r>
        <w:rPr>
          <w:rFonts w:hint="eastAsia"/>
        </w:rPr>
        <w:t>绿色物业</w:t>
      </w:r>
      <w:bookmarkEnd w:id="71"/>
    </w:p>
    <w:p w14:paraId="4F8442B3">
      <w:pPr>
        <w:pStyle w:val="57"/>
        <w:ind w:firstLine="420"/>
      </w:pPr>
      <w:r>
        <w:rPr>
          <w:rFonts w:hint="eastAsia"/>
        </w:rPr>
        <w:t>与物业服务机构订立的物业服务合同中载明绿色管理的目标和服务要求，得1分。</w:t>
      </w:r>
    </w:p>
    <w:p w14:paraId="72000C90">
      <w:pPr>
        <w:pStyle w:val="106"/>
        <w:spacing w:before="156" w:after="156"/>
      </w:pPr>
      <w:bookmarkStart w:id="72" w:name="_Toc5640"/>
      <w:r>
        <w:rPr>
          <w:rFonts w:hint="eastAsia"/>
        </w:rPr>
        <w:t>节能管理</w:t>
      </w:r>
      <w:bookmarkEnd w:id="72"/>
    </w:p>
    <w:p w14:paraId="3CCCF5C3">
      <w:pPr>
        <w:pStyle w:val="166"/>
      </w:pPr>
      <w:r>
        <w:rPr>
          <w:rFonts w:hint="eastAsia"/>
        </w:rPr>
        <w:t>采用合同能源管理、合同节水管理等市场化方式进行能源管理或节能改造，得2分。</w:t>
      </w:r>
    </w:p>
    <w:p w14:paraId="64450F5F">
      <w:pPr>
        <w:pStyle w:val="166"/>
      </w:pPr>
      <w:r>
        <w:rPr>
          <w:rFonts w:hint="eastAsia"/>
        </w:rPr>
        <w:t>对能源消耗状况进行实时监测，实现能源资源消耗的计量、监测、存储、报送、分析、预警等功能，得2分；能耗监测系统与主管部门能源资源节能监管平台进行数据对接得1分。</w:t>
      </w:r>
    </w:p>
    <w:p w14:paraId="5FFA3FC4">
      <w:pPr>
        <w:pStyle w:val="166"/>
        <w:rPr>
          <w:color w:val="000000" w:themeColor="text1"/>
          <w14:textFill>
            <w14:solidFill>
              <w14:schemeClr w14:val="tx1"/>
            </w14:solidFill>
          </w14:textFill>
        </w:rPr>
      </w:pPr>
      <w:r>
        <w:rPr>
          <w:rFonts w:hint="eastAsia"/>
          <w:color w:val="000000" w:themeColor="text1"/>
          <w14:textFill>
            <w14:solidFill>
              <w14:schemeClr w14:val="tx1"/>
            </w14:solidFill>
          </w14:textFill>
        </w:rPr>
        <w:t>能耗指标全部优于DB13(J)/T 8353中基准值，有1项能耗指标达到引导值的要求，得0.5分，有2项及以上能耗指标达到引导值的要求，得1分。</w:t>
      </w:r>
    </w:p>
    <w:p w14:paraId="5EB654D0">
      <w:pPr>
        <w:pStyle w:val="166"/>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取水定额不超过DB13(J)/T 8353中基准值的规定，或获得公共机构水效领跑者称号，得1分。  </w:t>
      </w:r>
    </w:p>
    <w:p w14:paraId="7461CFD2">
      <w:pPr>
        <w:pStyle w:val="166"/>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单位建筑面积碳排放比满足上级部门要求，得1分。</w:t>
      </w:r>
    </w:p>
    <w:p w14:paraId="6BF2AED5">
      <w:pPr>
        <w:pStyle w:val="106"/>
        <w:spacing w:before="156" w:after="156"/>
        <w:rPr>
          <w:color w:val="000000" w:themeColor="text1"/>
          <w:szCs w:val="21"/>
          <w14:textFill>
            <w14:solidFill>
              <w14:schemeClr w14:val="tx1"/>
            </w14:solidFill>
          </w14:textFill>
        </w:rPr>
      </w:pPr>
      <w:bookmarkStart w:id="73" w:name="_Toc7621"/>
      <w:r>
        <w:rPr>
          <w:rFonts w:hint="eastAsia"/>
          <w:color w:val="000000" w:themeColor="text1"/>
          <w14:textFill>
            <w14:solidFill>
              <w14:schemeClr w14:val="tx1"/>
            </w14:solidFill>
          </w14:textFill>
        </w:rPr>
        <w:t>其他创新性成果</w:t>
      </w:r>
      <w:bookmarkEnd w:id="73"/>
    </w:p>
    <w:p w14:paraId="3CE18D13">
      <w:pPr>
        <w:pStyle w:val="166"/>
        <w:rPr>
          <w:color w:val="000000" w:themeColor="text1"/>
          <w14:textFill>
            <w14:solidFill>
              <w14:schemeClr w14:val="tx1"/>
            </w14:solidFill>
          </w14:textFill>
        </w:rPr>
      </w:pPr>
      <w:r>
        <w:rPr>
          <w:rFonts w:hint="eastAsia"/>
          <w:color w:val="000000" w:themeColor="text1"/>
          <w14:textFill>
            <w14:solidFill>
              <w14:schemeClr w14:val="tx1"/>
            </w14:solidFill>
          </w14:textFill>
        </w:rPr>
        <w:t>取得绿色建筑评价标识，一星级得1分，二星级得2分，三星级得3分。</w:t>
      </w:r>
    </w:p>
    <w:p w14:paraId="39BB46E3">
      <w:pPr>
        <w:pStyle w:val="166"/>
        <w:rPr>
          <w:color w:val="000000" w:themeColor="text1"/>
          <w14:textFill>
            <w14:solidFill>
              <w14:schemeClr w14:val="tx1"/>
            </w14:solidFill>
          </w14:textFill>
        </w:rPr>
      </w:pPr>
      <w:r>
        <w:rPr>
          <w:rFonts w:hint="eastAsia"/>
          <w:color w:val="000000" w:themeColor="text1"/>
          <w14:textFill>
            <w14:solidFill>
              <w14:schemeClr w14:val="tx1"/>
            </w14:solidFill>
          </w14:textFill>
        </w:rPr>
        <w:t>获得近零能耗建筑、零碳建筑或碳中和建筑相关认证，得2分。</w:t>
      </w:r>
    </w:p>
    <w:p w14:paraId="601099E7">
      <w:pPr>
        <w:pStyle w:val="166"/>
      </w:pPr>
      <w:r>
        <w:rPr>
          <w:rFonts w:hint="eastAsia"/>
        </w:rPr>
        <w:t>近两年获得国家级节水型单位、节约型公共机构等荣誉，得2分。</w:t>
      </w:r>
    </w:p>
    <w:p w14:paraId="0C653A6B">
      <w:pPr>
        <w:pStyle w:val="166"/>
      </w:pPr>
      <w:r>
        <w:rPr>
          <w:rFonts w:hint="eastAsia"/>
        </w:rPr>
        <w:t>近两年通过新闻媒体或主管部门宣传平台报道本单位绿色节能做法或案例，国家级每次1分，省级及以下的每次0.5分，最高得2分。</w:t>
      </w:r>
    </w:p>
    <w:p w14:paraId="1F9F97E4">
      <w:pPr>
        <w:pStyle w:val="166"/>
      </w:pPr>
      <w:r>
        <w:rPr>
          <w:rFonts w:hint="eastAsia"/>
        </w:rPr>
        <w:t>近两年在绿色节能领域获得专利证书，每项0.5分，最高得1分。</w:t>
      </w:r>
    </w:p>
    <w:p w14:paraId="12488DC1">
      <w:pPr>
        <w:pStyle w:val="57"/>
        <w:ind w:firstLine="420"/>
      </w:pPr>
    </w:p>
    <w:p w14:paraId="1EC8BCCC">
      <w:pPr>
        <w:pStyle w:val="57"/>
        <w:ind w:firstLine="420"/>
      </w:pPr>
    </w:p>
    <w:p w14:paraId="4E328116">
      <w:pPr>
        <w:pStyle w:val="57"/>
        <w:ind w:firstLine="420"/>
      </w:pPr>
    </w:p>
    <w:p w14:paraId="5FF010D3">
      <w:pPr>
        <w:pStyle w:val="57"/>
        <w:ind w:firstLine="420"/>
        <w:sectPr>
          <w:pgSz w:w="11906" w:h="16838"/>
          <w:pgMar w:top="1928" w:right="1134" w:bottom="1134" w:left="1134" w:header="1418" w:footer="1134" w:gutter="284"/>
          <w:pgNumType w:start="1"/>
          <w:cols w:space="425" w:num="1"/>
          <w:formProt w:val="0"/>
          <w:docGrid w:type="lines" w:linePitch="312" w:charSpace="0"/>
        </w:sectPr>
      </w:pPr>
    </w:p>
    <w:bookmarkEnd w:id="26"/>
    <w:p w14:paraId="3ACD8938">
      <w:pPr>
        <w:pStyle w:val="199"/>
        <w:rPr>
          <w:rFonts w:hint="eastAsia"/>
          <w:vanish w:val="0"/>
        </w:rPr>
      </w:pPr>
      <w:bookmarkStart w:id="74" w:name="BookMark5"/>
    </w:p>
    <w:p w14:paraId="2446B320">
      <w:pPr>
        <w:pStyle w:val="200"/>
        <w:rPr>
          <w:vanish w:val="0"/>
        </w:rPr>
      </w:pPr>
    </w:p>
    <w:p w14:paraId="62146AAB">
      <w:pPr>
        <w:pStyle w:val="77"/>
        <w:spacing w:after="156"/>
      </w:pPr>
      <w:bookmarkStart w:id="75" w:name="_Toc6956"/>
      <w:r>
        <w:br w:type="textWrapping"/>
      </w:r>
      <w:r>
        <w:rPr>
          <w:rFonts w:hint="eastAsia"/>
        </w:rPr>
        <w:t>（资料性）</w:t>
      </w:r>
      <w:r>
        <w:br w:type="textWrapping"/>
      </w:r>
      <w:r>
        <w:rPr>
          <w:rFonts w:hint="eastAsia"/>
        </w:rPr>
        <w:t>绿容率的计算</w:t>
      </w:r>
      <w:bookmarkEnd w:id="75"/>
    </w:p>
    <w:p w14:paraId="71196F20">
      <w:pPr>
        <w:pStyle w:val="212"/>
        <w:rPr>
          <w:rFonts w:ascii="Times New Roman"/>
          <w:color w:val="000000" w:themeColor="text1"/>
          <w:szCs w:val="21"/>
          <w:shd w:val="clear" w:color="auto" w:fill="FFFFFF"/>
          <w14:textFill>
            <w14:solidFill>
              <w14:schemeClr w14:val="tx1"/>
            </w14:solidFill>
          </w14:textFill>
        </w:rPr>
      </w:pPr>
      <w:bookmarkStart w:id="76" w:name="_Toc21530_WPSOffice_Level1"/>
      <w:bookmarkEnd w:id="76"/>
      <w:r>
        <w:rPr>
          <w:color w:val="000000" w:themeColor="text1"/>
          <w:shd w:val="clear" w:color="auto" w:fill="FFFFFF"/>
          <w14:textFill>
            <w14:solidFill>
              <w14:schemeClr w14:val="tx1"/>
            </w14:solidFill>
          </w14:textFill>
        </w:rPr>
        <w:t>绿容率应按下式计算：</w:t>
      </w:r>
    </w:p>
    <w:p w14:paraId="2EBD3A4C">
      <w:pPr>
        <w:pStyle w:val="57"/>
        <w:ind w:firstLine="420"/>
        <w:jc w:val="right"/>
      </w:pPr>
      <w:r>
        <w:drawing>
          <wp:inline distT="0" distB="0" distL="0" distR="0">
            <wp:extent cx="2847975" cy="438150"/>
            <wp:effectExtent l="0" t="0" r="9525" b="0"/>
            <wp:docPr id="8958491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849159" name="图片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847975" cy="438150"/>
                    </a:xfrm>
                    <a:prstGeom prst="rect">
                      <a:avLst/>
                    </a:prstGeom>
                    <a:noFill/>
                    <a:ln>
                      <a:noFill/>
                    </a:ln>
                  </pic:spPr>
                </pic:pic>
              </a:graphicData>
            </a:graphic>
          </wp:inline>
        </w:drawing>
      </w:r>
      <w:r>
        <w:t xml:space="preserve">              </w:t>
      </w:r>
      <w:r>
        <w:rPr>
          <w:rFonts w:hAnsi="宋体"/>
        </w:rPr>
        <w:t>（</w:t>
      </w:r>
      <w:r>
        <w:t>A.1</w:t>
      </w:r>
      <w:r>
        <w:rPr>
          <w:rFonts w:hAnsi="宋体"/>
        </w:rPr>
        <w:t>）</w:t>
      </w:r>
    </w:p>
    <w:p w14:paraId="71D9BD4D">
      <w:pPr>
        <w:pStyle w:val="57"/>
        <w:ind w:firstLine="420"/>
      </w:pPr>
      <w:r>
        <w:t>式中：</w:t>
      </w:r>
    </w:p>
    <w:p w14:paraId="168D56EF">
      <w:pPr>
        <w:pStyle w:val="57"/>
        <w:ind w:firstLine="420"/>
        <w:rPr>
          <w:rFonts w:ascii="Times New Roman"/>
        </w:rPr>
      </w:pPr>
      <w:r>
        <w:rPr>
          <w:rFonts w:ascii="Times New Roman"/>
          <w:i/>
          <w:iCs/>
        </w:rPr>
        <w:t xml:space="preserve">GPR </w:t>
      </w:r>
      <w:r>
        <w:rPr>
          <w:rFonts w:ascii="Times New Roman"/>
        </w:rPr>
        <w:t>——</w:t>
      </w:r>
      <w:r>
        <w:rPr>
          <w:shd w:val="clear" w:color="auto" w:fill="FFFFFF"/>
        </w:rPr>
        <w:t>绿容率，</w:t>
      </w:r>
      <w:r>
        <w:rPr>
          <w:rFonts w:ascii="Times New Roman"/>
          <w:shd w:val="clear" w:color="auto" w:fill="FFFFFF"/>
        </w:rPr>
        <w:t>%</w:t>
      </w:r>
      <w:r>
        <w:rPr>
          <w:shd w:val="clear" w:color="auto" w:fill="FFFFFF"/>
        </w:rPr>
        <w:t>；</w:t>
      </w:r>
    </w:p>
    <w:p w14:paraId="04F548FC">
      <w:pPr>
        <w:pStyle w:val="57"/>
        <w:ind w:firstLine="420"/>
        <w:rPr>
          <w:rFonts w:ascii="Times New Roman"/>
        </w:rPr>
      </w:pPr>
      <w:r>
        <w:rPr>
          <w:rFonts w:ascii="Times New Roman"/>
          <w:i/>
          <w:iCs/>
        </w:rPr>
        <w:t>LA</w:t>
      </w:r>
      <w:r>
        <w:rPr>
          <w:rFonts w:ascii="Times New Roman"/>
          <w:i/>
          <w:iCs/>
          <w:vertAlign w:val="subscript"/>
        </w:rPr>
        <w:t xml:space="preserve">i </w:t>
      </w:r>
      <w:r>
        <w:rPr>
          <w:rFonts w:ascii="Times New Roman"/>
        </w:rPr>
        <w:t>——</w:t>
      </w:r>
      <w:r>
        <w:t>第</w:t>
      </w:r>
      <w:r>
        <w:rPr>
          <w:rFonts w:ascii="Times New Roman"/>
        </w:rPr>
        <w:t>i</w:t>
      </w:r>
      <w:r>
        <w:t>类乔木的叶面积指数；</w:t>
      </w:r>
    </w:p>
    <w:p w14:paraId="21EEA93F">
      <w:pPr>
        <w:pStyle w:val="57"/>
        <w:ind w:firstLine="420"/>
        <w:rPr>
          <w:rFonts w:ascii="Times New Roman"/>
        </w:rPr>
      </w:pPr>
      <w:r>
        <w:rPr>
          <w:rFonts w:hint="eastAsia" w:ascii="Times New Roman"/>
          <w:i/>
          <w:iCs/>
        </w:rPr>
        <w:t>PA</w:t>
      </w:r>
      <w:r>
        <w:rPr>
          <w:rFonts w:ascii="Times New Roman"/>
          <w:i/>
          <w:iCs/>
          <w:vertAlign w:val="subscript"/>
        </w:rPr>
        <w:t xml:space="preserve">i </w:t>
      </w:r>
      <w:r>
        <w:rPr>
          <w:rFonts w:ascii="Times New Roman"/>
        </w:rPr>
        <w:t>——</w:t>
      </w:r>
      <w:r>
        <w:t>第</w:t>
      </w:r>
      <w:r>
        <w:rPr>
          <w:rFonts w:ascii="Times New Roman"/>
        </w:rPr>
        <w:t>i</w:t>
      </w:r>
      <w:r>
        <w:t>类乔木的</w:t>
      </w:r>
      <w:r>
        <w:rPr>
          <w:rFonts w:hint="eastAsia"/>
        </w:rPr>
        <w:t>投影面积，</w:t>
      </w:r>
      <w:r>
        <w:rPr>
          <w:rFonts w:hint="eastAsia" w:ascii="Times New Roman"/>
        </w:rPr>
        <w:t>m</w:t>
      </w:r>
      <w:r>
        <w:rPr>
          <w:rFonts w:hint="eastAsia" w:ascii="Times New Roman"/>
          <w:vertAlign w:val="superscript"/>
        </w:rPr>
        <w:t>2</w:t>
      </w:r>
      <w:r>
        <w:t>；</w:t>
      </w:r>
    </w:p>
    <w:p w14:paraId="701E45C7">
      <w:pPr>
        <w:pStyle w:val="57"/>
        <w:ind w:firstLine="420"/>
      </w:pPr>
      <w:r>
        <w:rPr>
          <w:rFonts w:hint="eastAsia"/>
          <w:i/>
          <w:iCs/>
        </w:rPr>
        <w:t>N</w:t>
      </w:r>
      <w:r>
        <w:rPr>
          <w:i/>
          <w:iCs/>
          <w:vertAlign w:val="subscript"/>
        </w:rPr>
        <w:t xml:space="preserve">i </w:t>
      </w:r>
      <w:r>
        <w:rPr>
          <w:rFonts w:hint="eastAsia"/>
          <w:i/>
          <w:iCs/>
          <w:vertAlign w:val="subscript"/>
        </w:rPr>
        <w:t xml:space="preserve"> </w:t>
      </w:r>
      <w:r>
        <w:t>——</w:t>
      </w:r>
      <w:r>
        <w:rPr>
          <w:rFonts w:hAnsi="宋体"/>
        </w:rPr>
        <w:t>第</w:t>
      </w:r>
      <w:r>
        <w:t>i</w:t>
      </w:r>
      <w:r>
        <w:rPr>
          <w:rFonts w:hAnsi="宋体"/>
        </w:rPr>
        <w:t>类乔木</w:t>
      </w:r>
      <w:r>
        <w:rPr>
          <w:rFonts w:hint="eastAsia" w:hAnsi="宋体"/>
        </w:rPr>
        <w:t>的数量</w:t>
      </w:r>
      <w:r>
        <w:rPr>
          <w:rFonts w:hAnsi="宋体"/>
        </w:rPr>
        <w:t>；</w:t>
      </w:r>
    </w:p>
    <w:p w14:paraId="2282D407">
      <w:pPr>
        <w:pStyle w:val="57"/>
        <w:ind w:firstLine="420"/>
        <w:rPr>
          <w:rFonts w:ascii="Times New Roman"/>
        </w:rPr>
      </w:pPr>
      <w:r>
        <w:rPr>
          <w:rFonts w:hint="eastAsia" w:ascii="Times New Roman"/>
          <w:i/>
          <w:iCs/>
        </w:rPr>
        <w:t>S</w:t>
      </w:r>
      <w:r>
        <w:rPr>
          <w:rFonts w:hint="eastAsia" w:ascii="Times New Roman"/>
          <w:i/>
          <w:iCs/>
          <w:vertAlign w:val="subscript"/>
        </w:rPr>
        <w:t>f</w:t>
      </w:r>
      <w:r>
        <w:rPr>
          <w:rFonts w:ascii="Times New Roman"/>
          <w:i/>
          <w:iCs/>
          <w:vertAlign w:val="subscript"/>
        </w:rPr>
        <w:t xml:space="preserve"> </w:t>
      </w:r>
      <w:r>
        <w:rPr>
          <w:rFonts w:hint="eastAsia" w:ascii="Times New Roman"/>
          <w:i/>
          <w:iCs/>
          <w:vertAlign w:val="subscript"/>
        </w:rPr>
        <w:t xml:space="preserve"> </w:t>
      </w:r>
      <w:r>
        <w:rPr>
          <w:rFonts w:ascii="Times New Roman"/>
        </w:rPr>
        <w:t>——</w:t>
      </w:r>
      <w:r>
        <w:rPr>
          <w:rFonts w:hint="eastAsia"/>
        </w:rPr>
        <w:t>场地内灌木占地面积，</w:t>
      </w:r>
      <w:r>
        <w:rPr>
          <w:rFonts w:hint="eastAsia" w:ascii="Times New Roman"/>
        </w:rPr>
        <w:t>m</w:t>
      </w:r>
      <w:r>
        <w:rPr>
          <w:rFonts w:hint="eastAsia" w:ascii="Times New Roman"/>
          <w:vertAlign w:val="superscript"/>
        </w:rPr>
        <w:t>2</w:t>
      </w:r>
      <w:r>
        <w:t>；</w:t>
      </w:r>
    </w:p>
    <w:p w14:paraId="7B5C7901">
      <w:pPr>
        <w:pStyle w:val="57"/>
        <w:ind w:firstLine="420"/>
        <w:rPr>
          <w:rFonts w:ascii="Times New Roman"/>
        </w:rPr>
      </w:pPr>
      <w:r>
        <w:rPr>
          <w:rFonts w:hint="eastAsia" w:ascii="Times New Roman"/>
          <w:i/>
          <w:iCs/>
        </w:rPr>
        <w:t>S</w:t>
      </w:r>
      <w:r>
        <w:rPr>
          <w:rFonts w:hint="eastAsia" w:ascii="Times New Roman"/>
          <w:i/>
          <w:iCs/>
          <w:vertAlign w:val="subscript"/>
        </w:rPr>
        <w:t>g</w:t>
      </w:r>
      <w:r>
        <w:rPr>
          <w:rFonts w:ascii="Times New Roman"/>
          <w:i/>
          <w:iCs/>
          <w:vertAlign w:val="subscript"/>
        </w:rPr>
        <w:t xml:space="preserve"> </w:t>
      </w:r>
      <w:r>
        <w:rPr>
          <w:rFonts w:hint="eastAsia" w:ascii="Times New Roman"/>
          <w:i/>
          <w:iCs/>
          <w:vertAlign w:val="subscript"/>
        </w:rPr>
        <w:t xml:space="preserve"> </w:t>
      </w:r>
      <w:r>
        <w:rPr>
          <w:rFonts w:ascii="Times New Roman"/>
        </w:rPr>
        <w:t>——</w:t>
      </w:r>
      <w:r>
        <w:rPr>
          <w:rFonts w:hint="eastAsia"/>
        </w:rPr>
        <w:t>场地内草地占地面积，</w:t>
      </w:r>
      <w:r>
        <w:rPr>
          <w:rFonts w:hint="eastAsia" w:ascii="Times New Roman"/>
        </w:rPr>
        <w:t>m</w:t>
      </w:r>
      <w:r>
        <w:rPr>
          <w:rFonts w:hint="eastAsia" w:ascii="Times New Roman"/>
          <w:vertAlign w:val="superscript"/>
        </w:rPr>
        <w:t>2</w:t>
      </w:r>
      <w:r>
        <w:t>；</w:t>
      </w:r>
    </w:p>
    <w:p w14:paraId="30BE19E7">
      <w:pPr>
        <w:pStyle w:val="57"/>
        <w:ind w:firstLine="420"/>
      </w:pPr>
      <w:bookmarkStart w:id="77" w:name="_Toc1239_WPSOffice_Level2"/>
      <w:bookmarkEnd w:id="77"/>
      <w:bookmarkStart w:id="78" w:name="_Toc20630_WPSOffice_Level2"/>
      <w:r>
        <w:rPr>
          <w:rFonts w:hint="eastAsia"/>
          <w:i/>
          <w:iCs/>
        </w:rPr>
        <w:t xml:space="preserve">S </w:t>
      </w:r>
      <w:bookmarkEnd w:id="78"/>
      <w:r>
        <w:rPr>
          <w:i/>
          <w:iCs/>
          <w:vertAlign w:val="subscript"/>
        </w:rPr>
        <w:t xml:space="preserve"> </w:t>
      </w:r>
      <w:r>
        <w:rPr>
          <w:rFonts w:hint="eastAsia"/>
          <w:i/>
          <w:iCs/>
          <w:vertAlign w:val="subscript"/>
        </w:rPr>
        <w:t xml:space="preserve"> </w:t>
      </w:r>
      <w:r>
        <w:t>——</w:t>
      </w:r>
      <w:r>
        <w:rPr>
          <w:rFonts w:hint="eastAsia" w:hAnsi="宋体"/>
        </w:rPr>
        <w:t>场地面积，</w:t>
      </w:r>
      <w:r>
        <w:rPr>
          <w:rFonts w:hint="eastAsia"/>
        </w:rPr>
        <w:t>m</w:t>
      </w:r>
      <w:r>
        <w:rPr>
          <w:rFonts w:hint="eastAsia"/>
          <w:vertAlign w:val="superscript"/>
        </w:rPr>
        <w:t>2</w:t>
      </w:r>
      <w:r>
        <w:rPr>
          <w:rFonts w:hAnsi="宋体"/>
        </w:rPr>
        <w:t>；</w:t>
      </w:r>
    </w:p>
    <w:p w14:paraId="3E3CF4E1">
      <w:pPr>
        <w:pStyle w:val="57"/>
        <w:ind w:firstLine="420"/>
        <w:rPr>
          <w:rFonts w:ascii="Times New Roman" w:hAnsi="Calibri"/>
        </w:rPr>
      </w:pPr>
      <w:r>
        <w:rPr>
          <w:rFonts w:hint="eastAsia"/>
        </w:rPr>
        <w:t>叶面积指数是指单位土地面积上植物叶片总面积占土地面积的倍数，亦称为叶面积系数。</w:t>
      </w:r>
    </w:p>
    <w:p w14:paraId="4D39EC49">
      <w:pPr>
        <w:pStyle w:val="57"/>
        <w:ind w:firstLine="420"/>
      </w:pPr>
      <w:r>
        <w:rPr>
          <w:rFonts w:hint="eastAsia"/>
        </w:rPr>
        <w:t xml:space="preserve">冠层稀疏类乔木叶面积指数可按2取值；冠层密集类乔木叶面积指数可按4取值；乔木投影面积应按苗木表数据进行计算；场地内的立体绿化可纳入计算。 </w:t>
      </w:r>
    </w:p>
    <w:p w14:paraId="751151B1">
      <w:pPr>
        <w:pStyle w:val="57"/>
        <w:ind w:firstLine="420"/>
      </w:pPr>
    </w:p>
    <w:p w14:paraId="1A1C9B33">
      <w:pPr>
        <w:pStyle w:val="57"/>
        <w:ind w:firstLine="420"/>
      </w:pPr>
    </w:p>
    <w:p w14:paraId="3E46F12A">
      <w:pPr>
        <w:pStyle w:val="57"/>
        <w:ind w:firstLine="420"/>
      </w:pPr>
    </w:p>
    <w:p w14:paraId="327BC2D5">
      <w:pPr>
        <w:pStyle w:val="57"/>
        <w:ind w:firstLine="420"/>
        <w:sectPr>
          <w:pgSz w:w="11906" w:h="16838"/>
          <w:pgMar w:top="1928" w:right="1134" w:bottom="1134" w:left="1134" w:header="1418" w:footer="1134" w:gutter="284"/>
          <w:cols w:space="425" w:num="1"/>
          <w:formProt w:val="0"/>
          <w:docGrid w:type="lines" w:linePitch="312" w:charSpace="0"/>
        </w:sectPr>
      </w:pPr>
    </w:p>
    <w:p w14:paraId="3BA76358">
      <w:pPr>
        <w:pStyle w:val="199"/>
        <w:rPr>
          <w:rFonts w:hint="eastAsia"/>
          <w:vanish w:val="0"/>
        </w:rPr>
      </w:pPr>
    </w:p>
    <w:p w14:paraId="7461D3DA">
      <w:pPr>
        <w:pStyle w:val="200"/>
        <w:rPr>
          <w:vanish w:val="0"/>
        </w:rPr>
      </w:pPr>
    </w:p>
    <w:p w14:paraId="0D3544B1">
      <w:pPr>
        <w:pStyle w:val="77"/>
        <w:spacing w:after="156"/>
      </w:pPr>
      <w:bookmarkStart w:id="79" w:name="_Toc15121"/>
      <w:r>
        <w:br w:type="textWrapping"/>
      </w:r>
      <w:r>
        <w:rPr>
          <w:rFonts w:hint="eastAsia"/>
        </w:rPr>
        <w:t>（资料性）</w:t>
      </w:r>
      <w:r>
        <w:br w:type="textWrapping"/>
      </w:r>
      <w:r>
        <w:rPr>
          <w:rFonts w:hint="eastAsia"/>
        </w:rPr>
        <w:t>建筑可再生能源电力替代率的计算</w:t>
      </w:r>
      <w:bookmarkEnd w:id="79"/>
    </w:p>
    <w:p w14:paraId="7512AFA2">
      <w:pPr>
        <w:pStyle w:val="212"/>
        <w:rPr>
          <w:rFonts w:ascii="Times New Roman"/>
          <w:szCs w:val="21"/>
          <w:shd w:val="clear" w:color="auto" w:fill="FFFFFF"/>
        </w:rPr>
      </w:pPr>
      <w:bookmarkStart w:id="80" w:name="_Toc8085_WPSOffice_Level1"/>
      <w:bookmarkEnd w:id="80"/>
      <w:r>
        <w:rPr>
          <w:rFonts w:hint="eastAsia"/>
          <w:shd w:val="clear" w:color="auto" w:fill="FFFFFF"/>
        </w:rPr>
        <w:t>建筑可再生能源电力替代率应按下式计算：</w:t>
      </w:r>
    </w:p>
    <w:p w14:paraId="65EE16DC">
      <w:pPr>
        <w:pStyle w:val="57"/>
        <w:ind w:firstLine="420"/>
        <w:jc w:val="right"/>
      </w:pPr>
      <w:r>
        <w:drawing>
          <wp:inline distT="0" distB="0" distL="0" distR="0">
            <wp:extent cx="1552575" cy="447675"/>
            <wp:effectExtent l="0" t="0" r="9525" b="9525"/>
            <wp:docPr id="18827456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745658" name="图片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552575" cy="447675"/>
                    </a:xfrm>
                    <a:prstGeom prst="rect">
                      <a:avLst/>
                    </a:prstGeom>
                    <a:noFill/>
                    <a:ln>
                      <a:noFill/>
                    </a:ln>
                  </pic:spPr>
                </pic:pic>
              </a:graphicData>
            </a:graphic>
          </wp:inline>
        </w:drawing>
      </w:r>
      <w:r>
        <w:rPr>
          <w:rFonts w:hint="eastAsia"/>
        </w:rPr>
        <w:t xml:space="preserve">                      </w:t>
      </w:r>
      <w:r>
        <w:rPr>
          <w:rFonts w:hint="eastAsia" w:hAnsi="宋体"/>
        </w:rPr>
        <w:t>（</w:t>
      </w:r>
      <w:r>
        <w:rPr>
          <w:rFonts w:hint="eastAsia"/>
        </w:rPr>
        <w:t>B</w:t>
      </w:r>
      <w:r>
        <w:t>.0.</w:t>
      </w:r>
      <w:r>
        <w:rPr>
          <w:rFonts w:hint="eastAsia"/>
        </w:rPr>
        <w:t>1</w:t>
      </w:r>
      <w:r>
        <w:rPr>
          <w:rFonts w:hint="eastAsia" w:hAnsi="宋体"/>
        </w:rPr>
        <w:t>）</w:t>
      </w:r>
    </w:p>
    <w:p w14:paraId="2CFEE3A9">
      <w:pPr>
        <w:pStyle w:val="57"/>
        <w:ind w:firstLine="420"/>
      </w:pPr>
      <w:r>
        <w:t>式中：</w:t>
      </w:r>
    </w:p>
    <w:p w14:paraId="484072C3">
      <w:pPr>
        <w:pStyle w:val="57"/>
        <w:ind w:firstLine="420"/>
        <w:rPr>
          <w:rFonts w:ascii="Times New Roman"/>
          <w:shd w:val="clear" w:color="auto" w:fill="FFFFFF"/>
        </w:rPr>
      </w:pPr>
      <w:r>
        <w:rPr>
          <w:rFonts w:hint="eastAsia" w:ascii="Times New Roman"/>
          <w:i/>
          <w:iCs/>
        </w:rPr>
        <w:t>R</w:t>
      </w:r>
      <w:r>
        <w:rPr>
          <w:rFonts w:hint="eastAsia" w:ascii="Times New Roman"/>
          <w:i/>
          <w:iCs/>
          <w:vertAlign w:val="subscript"/>
        </w:rPr>
        <w:t xml:space="preserve">re </w:t>
      </w:r>
      <w:r>
        <w:rPr>
          <w:rFonts w:ascii="Times New Roman"/>
        </w:rPr>
        <w:t>——</w:t>
      </w:r>
      <w:r>
        <w:rPr>
          <w:rFonts w:hint="eastAsia"/>
          <w:shd w:val="clear" w:color="auto" w:fill="FFFFFF"/>
        </w:rPr>
        <w:t>可再生能源电力替代率</w:t>
      </w:r>
      <w:r>
        <w:rPr>
          <w:shd w:val="clear" w:color="auto" w:fill="FFFFFF"/>
        </w:rPr>
        <w:t>，</w:t>
      </w:r>
      <w:r>
        <w:rPr>
          <w:rFonts w:ascii="Times New Roman"/>
          <w:shd w:val="clear" w:color="auto" w:fill="FFFFFF"/>
        </w:rPr>
        <w:t>%</w:t>
      </w:r>
      <w:r>
        <w:rPr>
          <w:shd w:val="clear" w:color="auto" w:fill="FFFFFF"/>
        </w:rPr>
        <w:t>；</w:t>
      </w:r>
    </w:p>
    <w:p w14:paraId="5544B334">
      <w:pPr>
        <w:pStyle w:val="57"/>
        <w:ind w:firstLine="420"/>
        <w:rPr>
          <w:rFonts w:ascii="Times New Roman"/>
        </w:rPr>
      </w:pPr>
      <w:r>
        <w:rPr>
          <w:rFonts w:hint="eastAsia" w:ascii="Times New Roman"/>
          <w:i/>
          <w:iCs/>
        </w:rPr>
        <w:t>E</w:t>
      </w:r>
      <w:r>
        <w:rPr>
          <w:rFonts w:hint="eastAsia" w:ascii="Times New Roman"/>
          <w:i/>
          <w:iCs/>
          <w:vertAlign w:val="subscript"/>
        </w:rPr>
        <w:t xml:space="preserve">re </w:t>
      </w:r>
      <w:r>
        <w:rPr>
          <w:rFonts w:ascii="Times New Roman"/>
        </w:rPr>
        <w:t>——</w:t>
      </w:r>
      <w:r>
        <w:rPr>
          <w:rFonts w:hint="eastAsia"/>
        </w:rPr>
        <w:t>建筑使用的可再生能源电力用电量</w:t>
      </w:r>
      <w:r>
        <w:rPr>
          <w:shd w:val="clear" w:color="auto" w:fill="FFFFFF"/>
        </w:rPr>
        <w:t>，</w:t>
      </w:r>
      <w:r>
        <w:rPr>
          <w:rFonts w:hint="eastAsia" w:ascii="Times New Roman"/>
          <w:shd w:val="clear" w:color="auto" w:fill="FFFFFF"/>
        </w:rPr>
        <w:t>kWh</w:t>
      </w:r>
      <w:r>
        <w:rPr>
          <w:shd w:val="clear" w:color="auto" w:fill="FFFFFF"/>
        </w:rPr>
        <w:t>；</w:t>
      </w:r>
    </w:p>
    <w:p w14:paraId="11AE739E">
      <w:pPr>
        <w:pStyle w:val="57"/>
        <w:ind w:firstLine="420"/>
        <w:rPr>
          <w:rFonts w:ascii="Times New Roman"/>
        </w:rPr>
      </w:pPr>
      <w:bookmarkStart w:id="81" w:name="_Toc22277_WPSOffice_Level2"/>
      <w:bookmarkEnd w:id="81"/>
      <w:bookmarkStart w:id="82" w:name="_Toc6590_WPSOffice_Level2"/>
      <w:r>
        <w:rPr>
          <w:rFonts w:hint="eastAsia" w:ascii="Times New Roman"/>
          <w:i/>
          <w:iCs/>
        </w:rPr>
        <w:t xml:space="preserve">E </w:t>
      </w:r>
      <w:bookmarkEnd w:id="82"/>
      <w:r>
        <w:rPr>
          <w:rFonts w:ascii="Times New Roman"/>
        </w:rPr>
        <w:t>——</w:t>
      </w:r>
      <w:r>
        <w:rPr>
          <w:rFonts w:hint="eastAsia"/>
        </w:rPr>
        <w:t>建筑运行使用电力用量</w:t>
      </w:r>
      <w:r>
        <w:rPr>
          <w:shd w:val="clear" w:color="auto" w:fill="FFFFFF"/>
        </w:rPr>
        <w:t>，</w:t>
      </w:r>
      <w:r>
        <w:rPr>
          <w:rFonts w:hint="eastAsia" w:ascii="Times New Roman"/>
          <w:shd w:val="clear" w:color="auto" w:fill="FFFFFF"/>
        </w:rPr>
        <w:t>kWh</w:t>
      </w:r>
      <w:r>
        <w:rPr>
          <w:shd w:val="clear" w:color="auto" w:fill="FFFFFF"/>
        </w:rPr>
        <w:t>；</w:t>
      </w:r>
    </w:p>
    <w:p w14:paraId="6DBA645C">
      <w:pPr>
        <w:pStyle w:val="57"/>
        <w:ind w:firstLine="420"/>
        <w:rPr>
          <w:rFonts w:ascii="Times New Roman"/>
        </w:rPr>
      </w:pPr>
      <w:r>
        <w:rPr>
          <w:rFonts w:hint="eastAsia" w:ascii="Times New Roman"/>
          <w:i/>
          <w:iCs/>
        </w:rPr>
        <w:t>E</w:t>
      </w:r>
      <w:r>
        <w:rPr>
          <w:rFonts w:hint="eastAsia" w:ascii="Times New Roman"/>
          <w:i/>
          <w:iCs/>
          <w:vertAlign w:val="subscript"/>
        </w:rPr>
        <w:t>i</w:t>
      </w:r>
      <w:r>
        <w:rPr>
          <w:rFonts w:ascii="Times New Roman"/>
        </w:rPr>
        <w:t>——</w:t>
      </w:r>
      <w:r>
        <w:rPr>
          <w:rFonts w:hint="eastAsia"/>
        </w:rPr>
        <w:t>建筑运行使用的除电力以外的第</w:t>
      </w:r>
      <w:r>
        <w:rPr>
          <w:rFonts w:hint="eastAsia" w:ascii="Times New Roman"/>
        </w:rPr>
        <w:t>i</w:t>
      </w:r>
      <w:r>
        <w:rPr>
          <w:rFonts w:hint="eastAsia"/>
        </w:rPr>
        <w:t>种非可再生能源用量</w:t>
      </w:r>
      <w:r>
        <w:rPr>
          <w:shd w:val="clear" w:color="auto" w:fill="FFFFFF"/>
        </w:rPr>
        <w:t>；</w:t>
      </w:r>
    </w:p>
    <w:p w14:paraId="7B9B80D5">
      <w:pPr>
        <w:pStyle w:val="57"/>
        <w:ind w:firstLine="420"/>
        <w:rPr>
          <w:rFonts w:ascii="Times New Roman"/>
        </w:rPr>
      </w:pPr>
      <w:r>
        <w:rPr>
          <w:rFonts w:hint="eastAsia" w:ascii="Times New Roman"/>
          <w:i/>
          <w:iCs/>
        </w:rPr>
        <w:t>f</w:t>
      </w:r>
      <w:r>
        <w:rPr>
          <w:rFonts w:hint="eastAsia" w:ascii="Times New Roman"/>
          <w:i/>
          <w:iCs/>
          <w:vertAlign w:val="subscript"/>
        </w:rPr>
        <w:t xml:space="preserve">i </w:t>
      </w:r>
      <w:r>
        <w:rPr>
          <w:rFonts w:ascii="Times New Roman"/>
        </w:rPr>
        <w:t>——</w:t>
      </w:r>
      <w:r>
        <w:rPr>
          <w:rFonts w:hint="eastAsia" w:ascii="Times New Roman"/>
        </w:rPr>
        <w:t>i</w:t>
      </w:r>
      <w:r>
        <w:rPr>
          <w:rFonts w:hint="eastAsia"/>
        </w:rPr>
        <w:t>类型能源的能源换算系数，按表</w:t>
      </w:r>
      <w:r>
        <w:rPr>
          <w:rFonts w:hint="eastAsia" w:ascii="Times New Roman"/>
          <w:shd w:val="clear" w:color="auto" w:fill="FFFFFF"/>
        </w:rPr>
        <w:t>B</w:t>
      </w:r>
      <w:r>
        <w:rPr>
          <w:rFonts w:ascii="Times New Roman"/>
          <w:shd w:val="clear" w:color="auto" w:fill="FFFFFF"/>
        </w:rPr>
        <w:t>.</w:t>
      </w:r>
      <w:r>
        <w:rPr>
          <w:rFonts w:hint="eastAsia" w:ascii="Times New Roman"/>
          <w:shd w:val="clear" w:color="auto" w:fill="FFFFFF"/>
        </w:rPr>
        <w:t>1</w:t>
      </w:r>
      <w:r>
        <w:rPr>
          <w:rFonts w:hint="eastAsia"/>
          <w:shd w:val="clear" w:color="auto" w:fill="FFFFFF"/>
        </w:rPr>
        <w:t>取值</w:t>
      </w:r>
      <w:r>
        <w:rPr>
          <w:rFonts w:hint="eastAsia"/>
        </w:rPr>
        <w:t>。</w:t>
      </w:r>
    </w:p>
    <w:p w14:paraId="2ECC58F8">
      <w:pPr>
        <w:pStyle w:val="78"/>
        <w:spacing w:before="156" w:after="156"/>
        <w:rPr>
          <w:rFonts w:ascii="Times New Roman"/>
          <w:kern w:val="0"/>
          <w:szCs w:val="21"/>
          <w:shd w:val="clear" w:color="auto" w:fill="FFFFFF"/>
        </w:rPr>
      </w:pPr>
      <w:r>
        <w:rPr>
          <w:rFonts w:hint="eastAsia"/>
          <w:shd w:val="clear" w:color="auto" w:fill="FFFFFF"/>
        </w:rPr>
        <w:t>能源换算系数</w:t>
      </w:r>
    </w:p>
    <w:tbl>
      <w:tblPr>
        <w:tblStyle w:val="28"/>
        <w:tblW w:w="95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829"/>
        <w:gridCol w:w="2010"/>
        <w:gridCol w:w="2732"/>
      </w:tblGrid>
      <w:tr w14:paraId="685491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2" w:hRule="atLeast"/>
        </w:trPr>
        <w:tc>
          <w:tcPr>
            <w:tcW w:w="4829" w:type="dxa"/>
            <w:tcBorders>
              <w:top w:val="single" w:color="auto" w:sz="8" w:space="0"/>
              <w:bottom w:val="single" w:color="auto" w:sz="8" w:space="0"/>
            </w:tcBorders>
            <w:shd w:val="clear" w:color="auto" w:fill="auto"/>
            <w:vAlign w:val="center"/>
          </w:tcPr>
          <w:p w14:paraId="6A15ED57">
            <w:pPr>
              <w:pStyle w:val="231"/>
              <w:ind w:firstLine="0" w:firstLineChars="0"/>
              <w:jc w:val="center"/>
              <w:rPr>
                <w:rFonts w:ascii="Times New Roman" w:hAnsi="Calibri"/>
                <w:kern w:val="2"/>
                <w:sz w:val="18"/>
              </w:rPr>
            </w:pPr>
            <w:r>
              <w:rPr>
                <w:rFonts w:hint="eastAsia" w:hAnsi="宋体"/>
                <w:kern w:val="2"/>
                <w:sz w:val="18"/>
              </w:rPr>
              <w:t>能源类型</w:t>
            </w:r>
          </w:p>
        </w:tc>
        <w:tc>
          <w:tcPr>
            <w:tcW w:w="2010" w:type="dxa"/>
            <w:tcBorders>
              <w:top w:val="single" w:color="auto" w:sz="8" w:space="0"/>
              <w:bottom w:val="single" w:color="auto" w:sz="8" w:space="0"/>
            </w:tcBorders>
            <w:shd w:val="clear" w:color="auto" w:fill="auto"/>
            <w:vAlign w:val="center"/>
          </w:tcPr>
          <w:p w14:paraId="2120660E">
            <w:pPr>
              <w:pStyle w:val="231"/>
              <w:ind w:firstLine="0" w:firstLineChars="0"/>
              <w:jc w:val="center"/>
              <w:rPr>
                <w:rFonts w:ascii="Times New Roman" w:hAnsi="Calibri"/>
                <w:kern w:val="2"/>
                <w:sz w:val="18"/>
              </w:rPr>
            </w:pPr>
            <w:r>
              <w:rPr>
                <w:rFonts w:hint="eastAsia" w:hAnsi="宋体"/>
                <w:kern w:val="2"/>
                <w:sz w:val="18"/>
              </w:rPr>
              <w:t>换算单位</w:t>
            </w:r>
          </w:p>
        </w:tc>
        <w:tc>
          <w:tcPr>
            <w:tcW w:w="2732" w:type="dxa"/>
            <w:tcBorders>
              <w:top w:val="single" w:color="auto" w:sz="8" w:space="0"/>
              <w:bottom w:val="single" w:color="auto" w:sz="8" w:space="0"/>
            </w:tcBorders>
            <w:shd w:val="clear" w:color="auto" w:fill="auto"/>
            <w:vAlign w:val="center"/>
          </w:tcPr>
          <w:p w14:paraId="004165DE">
            <w:pPr>
              <w:pStyle w:val="231"/>
              <w:ind w:firstLine="0" w:firstLineChars="0"/>
              <w:jc w:val="center"/>
              <w:rPr>
                <w:rFonts w:ascii="Times New Roman" w:hAnsi="Calibri"/>
                <w:kern w:val="2"/>
                <w:sz w:val="18"/>
              </w:rPr>
            </w:pPr>
            <w:r>
              <w:rPr>
                <w:rFonts w:hint="eastAsia" w:hAnsi="宋体"/>
                <w:sz w:val="18"/>
                <w:shd w:val="clear" w:color="auto" w:fill="FFFFFF"/>
              </w:rPr>
              <w:t>能源换算系数</w:t>
            </w:r>
          </w:p>
        </w:tc>
      </w:tr>
      <w:tr w14:paraId="393476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tcBorders>
              <w:top w:val="single" w:color="auto" w:sz="8" w:space="0"/>
            </w:tcBorders>
            <w:shd w:val="clear" w:color="auto" w:fill="auto"/>
            <w:vAlign w:val="center"/>
          </w:tcPr>
          <w:p w14:paraId="63F0BB3C">
            <w:pPr>
              <w:pStyle w:val="231"/>
              <w:ind w:firstLine="0" w:firstLineChars="0"/>
              <w:rPr>
                <w:rFonts w:ascii="Times New Roman" w:hAnsi="Calibri"/>
                <w:kern w:val="2"/>
                <w:sz w:val="18"/>
              </w:rPr>
            </w:pPr>
            <w:r>
              <w:rPr>
                <w:rFonts w:hint="eastAsia" w:hAnsi="宋体"/>
                <w:kern w:val="2"/>
                <w:sz w:val="18"/>
              </w:rPr>
              <w:t>标准煤</w:t>
            </w:r>
          </w:p>
        </w:tc>
        <w:tc>
          <w:tcPr>
            <w:tcW w:w="2010" w:type="dxa"/>
            <w:tcBorders>
              <w:top w:val="single" w:color="auto" w:sz="8" w:space="0"/>
            </w:tcBorders>
            <w:shd w:val="clear" w:color="auto" w:fill="auto"/>
            <w:vAlign w:val="center"/>
          </w:tcPr>
          <w:p w14:paraId="4292510C">
            <w:pPr>
              <w:pStyle w:val="231"/>
              <w:ind w:firstLine="0" w:firstLineChars="0"/>
              <w:jc w:val="center"/>
              <w:rPr>
                <w:rFonts w:ascii="Times New Roman" w:hAnsi="Calibri"/>
                <w:kern w:val="2"/>
                <w:sz w:val="18"/>
              </w:rPr>
            </w:pPr>
            <w:r>
              <w:rPr>
                <w:rFonts w:hint="eastAsia" w:ascii="Times New Roman"/>
                <w:kern w:val="2"/>
                <w:sz w:val="18"/>
              </w:rPr>
              <w:t>kWh/kgce</w:t>
            </w:r>
            <w:r>
              <w:rPr>
                <w:rFonts w:hint="eastAsia" w:hAnsi="宋体"/>
                <w:kern w:val="2"/>
                <w:sz w:val="18"/>
                <w:vertAlign w:val="subscript"/>
              </w:rPr>
              <w:t>终端</w:t>
            </w:r>
          </w:p>
        </w:tc>
        <w:tc>
          <w:tcPr>
            <w:tcW w:w="2732" w:type="dxa"/>
            <w:tcBorders>
              <w:top w:val="single" w:color="auto" w:sz="8" w:space="0"/>
            </w:tcBorders>
            <w:shd w:val="clear" w:color="auto" w:fill="auto"/>
            <w:vAlign w:val="center"/>
          </w:tcPr>
          <w:p w14:paraId="033980CC">
            <w:pPr>
              <w:pStyle w:val="231"/>
              <w:ind w:firstLine="0" w:firstLineChars="0"/>
              <w:jc w:val="center"/>
              <w:rPr>
                <w:rFonts w:ascii="Times New Roman" w:hAnsi="Calibri"/>
                <w:kern w:val="2"/>
                <w:sz w:val="18"/>
              </w:rPr>
            </w:pPr>
            <w:r>
              <w:rPr>
                <w:rFonts w:hint="eastAsia" w:ascii="Times New Roman"/>
                <w:kern w:val="2"/>
                <w:sz w:val="18"/>
              </w:rPr>
              <w:t>8.14</w:t>
            </w:r>
          </w:p>
        </w:tc>
      </w:tr>
      <w:tr w14:paraId="4005F0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shd w:val="clear" w:color="auto" w:fill="auto"/>
            <w:vAlign w:val="center"/>
          </w:tcPr>
          <w:p w14:paraId="100D1029">
            <w:pPr>
              <w:pStyle w:val="231"/>
              <w:ind w:firstLine="0" w:firstLineChars="0"/>
              <w:rPr>
                <w:rFonts w:ascii="Times New Roman" w:hAnsi="Calibri"/>
                <w:kern w:val="2"/>
                <w:sz w:val="18"/>
              </w:rPr>
            </w:pPr>
            <w:r>
              <w:rPr>
                <w:rFonts w:hint="eastAsia" w:hAnsi="宋体"/>
                <w:kern w:val="2"/>
                <w:sz w:val="18"/>
              </w:rPr>
              <w:t>天然气</w:t>
            </w:r>
          </w:p>
        </w:tc>
        <w:tc>
          <w:tcPr>
            <w:tcW w:w="2010" w:type="dxa"/>
            <w:shd w:val="clear" w:color="auto" w:fill="auto"/>
            <w:vAlign w:val="center"/>
          </w:tcPr>
          <w:p w14:paraId="36BFDAC4">
            <w:pPr>
              <w:pStyle w:val="231"/>
              <w:ind w:firstLine="0" w:firstLineChars="0"/>
              <w:jc w:val="center"/>
              <w:rPr>
                <w:rFonts w:ascii="Times New Roman" w:hAnsi="Calibri"/>
                <w:kern w:val="2"/>
                <w:sz w:val="18"/>
              </w:rPr>
            </w:pPr>
            <w:r>
              <w:rPr>
                <w:rFonts w:hint="eastAsia" w:ascii="Times New Roman"/>
                <w:kern w:val="2"/>
                <w:sz w:val="18"/>
              </w:rPr>
              <w:t>kWh/m</w:t>
            </w:r>
            <w:r>
              <w:rPr>
                <w:rFonts w:hint="eastAsia" w:ascii="Times New Roman"/>
                <w:kern w:val="2"/>
                <w:sz w:val="18"/>
                <w:vertAlign w:val="superscript"/>
              </w:rPr>
              <w:t>3</w:t>
            </w:r>
            <w:r>
              <w:rPr>
                <w:rFonts w:hint="eastAsia" w:hAnsi="宋体"/>
                <w:kern w:val="2"/>
                <w:sz w:val="18"/>
                <w:vertAlign w:val="subscript"/>
              </w:rPr>
              <w:t>终端</w:t>
            </w:r>
          </w:p>
        </w:tc>
        <w:tc>
          <w:tcPr>
            <w:tcW w:w="2732" w:type="dxa"/>
            <w:shd w:val="clear" w:color="auto" w:fill="auto"/>
            <w:vAlign w:val="center"/>
          </w:tcPr>
          <w:p w14:paraId="1E3B354F">
            <w:pPr>
              <w:pStyle w:val="231"/>
              <w:ind w:firstLine="0" w:firstLineChars="0"/>
              <w:jc w:val="center"/>
              <w:rPr>
                <w:rFonts w:ascii="Times New Roman" w:hAnsi="Calibri"/>
                <w:kern w:val="2"/>
                <w:sz w:val="18"/>
              </w:rPr>
            </w:pPr>
            <w:r>
              <w:rPr>
                <w:rFonts w:hint="eastAsia" w:ascii="Times New Roman"/>
                <w:kern w:val="2"/>
                <w:sz w:val="18"/>
              </w:rPr>
              <w:t>9.85</w:t>
            </w:r>
          </w:p>
        </w:tc>
      </w:tr>
      <w:tr w14:paraId="579A5D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shd w:val="clear" w:color="auto" w:fill="auto"/>
            <w:vAlign w:val="center"/>
          </w:tcPr>
          <w:p w14:paraId="45DE0948">
            <w:pPr>
              <w:pStyle w:val="231"/>
              <w:ind w:firstLine="0" w:firstLineChars="0"/>
              <w:rPr>
                <w:rFonts w:ascii="Times New Roman" w:hAnsi="Calibri"/>
                <w:kern w:val="2"/>
                <w:sz w:val="18"/>
              </w:rPr>
            </w:pPr>
            <w:r>
              <w:rPr>
                <w:rFonts w:hint="eastAsia" w:hAnsi="宋体"/>
                <w:kern w:val="2"/>
                <w:sz w:val="18"/>
              </w:rPr>
              <w:t>热力</w:t>
            </w:r>
          </w:p>
        </w:tc>
        <w:tc>
          <w:tcPr>
            <w:tcW w:w="2010" w:type="dxa"/>
            <w:shd w:val="clear" w:color="auto" w:fill="auto"/>
            <w:vAlign w:val="center"/>
          </w:tcPr>
          <w:p w14:paraId="02028CBA">
            <w:pPr>
              <w:pStyle w:val="231"/>
              <w:ind w:firstLine="0" w:firstLineChars="0"/>
              <w:jc w:val="center"/>
              <w:rPr>
                <w:rFonts w:ascii="Times New Roman" w:hAnsi="Calibri"/>
                <w:kern w:val="2"/>
                <w:sz w:val="18"/>
              </w:rPr>
            </w:pPr>
            <w:r>
              <w:rPr>
                <w:rFonts w:hint="eastAsia" w:ascii="Times New Roman"/>
                <w:kern w:val="2"/>
                <w:sz w:val="18"/>
              </w:rPr>
              <w:t>kWh/kWh</w:t>
            </w:r>
            <w:r>
              <w:rPr>
                <w:rFonts w:hint="eastAsia" w:hAnsi="宋体"/>
                <w:kern w:val="2"/>
                <w:sz w:val="18"/>
                <w:vertAlign w:val="subscript"/>
              </w:rPr>
              <w:t>综端</w:t>
            </w:r>
          </w:p>
        </w:tc>
        <w:tc>
          <w:tcPr>
            <w:tcW w:w="2732" w:type="dxa"/>
            <w:shd w:val="clear" w:color="auto" w:fill="auto"/>
            <w:vAlign w:val="center"/>
          </w:tcPr>
          <w:p w14:paraId="2A691243">
            <w:pPr>
              <w:pStyle w:val="231"/>
              <w:ind w:firstLine="0" w:firstLineChars="0"/>
              <w:jc w:val="center"/>
              <w:rPr>
                <w:rFonts w:ascii="Times New Roman" w:hAnsi="Calibri"/>
                <w:kern w:val="2"/>
                <w:sz w:val="18"/>
              </w:rPr>
            </w:pPr>
            <w:r>
              <w:rPr>
                <w:rFonts w:hint="eastAsia" w:ascii="Times New Roman"/>
                <w:kern w:val="2"/>
                <w:sz w:val="18"/>
              </w:rPr>
              <w:t>1.22</w:t>
            </w:r>
          </w:p>
        </w:tc>
      </w:tr>
      <w:tr w14:paraId="67A4B8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shd w:val="clear" w:color="auto" w:fill="auto"/>
            <w:vAlign w:val="center"/>
          </w:tcPr>
          <w:p w14:paraId="77A06D91">
            <w:pPr>
              <w:pStyle w:val="231"/>
              <w:ind w:firstLine="0" w:firstLineChars="0"/>
              <w:rPr>
                <w:rFonts w:ascii="Times New Roman" w:hAnsi="Calibri"/>
                <w:kern w:val="2"/>
                <w:sz w:val="18"/>
              </w:rPr>
            </w:pPr>
            <w:r>
              <w:rPr>
                <w:rFonts w:hint="eastAsia" w:hAnsi="宋体"/>
                <w:kern w:val="2"/>
                <w:sz w:val="18"/>
              </w:rPr>
              <w:t>电力</w:t>
            </w:r>
          </w:p>
        </w:tc>
        <w:tc>
          <w:tcPr>
            <w:tcW w:w="2010" w:type="dxa"/>
            <w:shd w:val="clear" w:color="auto" w:fill="auto"/>
            <w:vAlign w:val="center"/>
          </w:tcPr>
          <w:p w14:paraId="7D8D7EC5">
            <w:pPr>
              <w:pStyle w:val="231"/>
              <w:ind w:firstLine="0" w:firstLineChars="0"/>
              <w:jc w:val="center"/>
              <w:rPr>
                <w:rFonts w:ascii="Times New Roman" w:hAnsi="Calibri"/>
                <w:kern w:val="2"/>
                <w:sz w:val="18"/>
              </w:rPr>
            </w:pPr>
            <w:r>
              <w:rPr>
                <w:rFonts w:hint="eastAsia" w:ascii="Times New Roman"/>
                <w:kern w:val="2"/>
                <w:sz w:val="18"/>
              </w:rPr>
              <w:t>kWh/kWh</w:t>
            </w:r>
            <w:r>
              <w:rPr>
                <w:rFonts w:hint="eastAsia" w:hAnsi="宋体"/>
                <w:kern w:val="2"/>
                <w:sz w:val="18"/>
                <w:vertAlign w:val="subscript"/>
              </w:rPr>
              <w:t>终端</w:t>
            </w:r>
          </w:p>
        </w:tc>
        <w:tc>
          <w:tcPr>
            <w:tcW w:w="2732" w:type="dxa"/>
            <w:shd w:val="clear" w:color="auto" w:fill="auto"/>
            <w:vAlign w:val="center"/>
          </w:tcPr>
          <w:p w14:paraId="5C6CD5DF">
            <w:pPr>
              <w:pStyle w:val="231"/>
              <w:ind w:firstLine="0" w:firstLineChars="0"/>
              <w:jc w:val="center"/>
              <w:rPr>
                <w:rFonts w:ascii="Times New Roman" w:hAnsi="Calibri"/>
                <w:kern w:val="2"/>
                <w:sz w:val="18"/>
              </w:rPr>
            </w:pPr>
            <w:r>
              <w:rPr>
                <w:rFonts w:hint="eastAsia" w:ascii="Times New Roman"/>
                <w:kern w:val="2"/>
                <w:sz w:val="18"/>
              </w:rPr>
              <w:t>2.6</w:t>
            </w:r>
          </w:p>
        </w:tc>
      </w:tr>
      <w:tr w14:paraId="56EED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shd w:val="clear" w:color="auto" w:fill="auto"/>
            <w:vAlign w:val="center"/>
          </w:tcPr>
          <w:p w14:paraId="15610F7F">
            <w:pPr>
              <w:pStyle w:val="231"/>
              <w:ind w:firstLine="0" w:firstLineChars="0"/>
              <w:rPr>
                <w:rFonts w:ascii="Times New Roman" w:hAnsi="Calibri"/>
                <w:kern w:val="2"/>
                <w:sz w:val="18"/>
              </w:rPr>
            </w:pPr>
            <w:r>
              <w:rPr>
                <w:rFonts w:hint="eastAsia" w:hAnsi="宋体"/>
                <w:kern w:val="2"/>
                <w:sz w:val="18"/>
              </w:rPr>
              <w:t>生物质能</w:t>
            </w:r>
          </w:p>
        </w:tc>
        <w:tc>
          <w:tcPr>
            <w:tcW w:w="2010" w:type="dxa"/>
            <w:shd w:val="clear" w:color="auto" w:fill="auto"/>
            <w:vAlign w:val="center"/>
          </w:tcPr>
          <w:p w14:paraId="5DAF4CAE">
            <w:pPr>
              <w:pStyle w:val="231"/>
              <w:ind w:firstLine="0" w:firstLineChars="0"/>
              <w:jc w:val="center"/>
              <w:rPr>
                <w:rFonts w:ascii="Times New Roman" w:hAnsi="Calibri"/>
                <w:kern w:val="2"/>
                <w:sz w:val="18"/>
              </w:rPr>
            </w:pPr>
            <w:r>
              <w:rPr>
                <w:rFonts w:hint="eastAsia" w:ascii="Times New Roman"/>
                <w:kern w:val="2"/>
                <w:sz w:val="18"/>
              </w:rPr>
              <w:t>kWh/kWh</w:t>
            </w:r>
            <w:r>
              <w:rPr>
                <w:rFonts w:hint="eastAsia" w:hAnsi="宋体"/>
                <w:kern w:val="2"/>
                <w:sz w:val="18"/>
                <w:vertAlign w:val="subscript"/>
              </w:rPr>
              <w:t>终端</w:t>
            </w:r>
          </w:p>
        </w:tc>
        <w:tc>
          <w:tcPr>
            <w:tcW w:w="2732" w:type="dxa"/>
            <w:shd w:val="clear" w:color="auto" w:fill="auto"/>
            <w:vAlign w:val="center"/>
          </w:tcPr>
          <w:p w14:paraId="79626B0E">
            <w:pPr>
              <w:pStyle w:val="231"/>
              <w:ind w:firstLine="0" w:firstLineChars="0"/>
              <w:jc w:val="center"/>
              <w:rPr>
                <w:rFonts w:ascii="Times New Roman" w:hAnsi="Calibri"/>
                <w:kern w:val="2"/>
                <w:sz w:val="18"/>
              </w:rPr>
            </w:pPr>
            <w:r>
              <w:rPr>
                <w:rFonts w:hint="eastAsia" w:ascii="Times New Roman"/>
                <w:kern w:val="2"/>
                <w:sz w:val="18"/>
              </w:rPr>
              <w:t>0.20</w:t>
            </w:r>
          </w:p>
        </w:tc>
      </w:tr>
      <w:tr w14:paraId="597D5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9" w:type="dxa"/>
            <w:shd w:val="clear" w:color="auto" w:fill="auto"/>
            <w:vAlign w:val="center"/>
          </w:tcPr>
          <w:p w14:paraId="10D8609E">
            <w:pPr>
              <w:pStyle w:val="231"/>
              <w:ind w:firstLine="0" w:firstLineChars="0"/>
              <w:rPr>
                <w:rFonts w:ascii="Times New Roman" w:hAnsi="Calibri"/>
                <w:kern w:val="2"/>
                <w:sz w:val="18"/>
              </w:rPr>
            </w:pPr>
            <w:r>
              <w:rPr>
                <w:rFonts w:hint="eastAsia" w:hAnsi="宋体"/>
                <w:kern w:val="2"/>
                <w:sz w:val="18"/>
              </w:rPr>
              <w:t>电力（光伏、风力等可再生能源发电）</w:t>
            </w:r>
          </w:p>
        </w:tc>
        <w:tc>
          <w:tcPr>
            <w:tcW w:w="2010" w:type="dxa"/>
            <w:shd w:val="clear" w:color="auto" w:fill="auto"/>
            <w:vAlign w:val="center"/>
          </w:tcPr>
          <w:p w14:paraId="41C22325">
            <w:pPr>
              <w:pStyle w:val="231"/>
              <w:ind w:firstLine="0" w:firstLineChars="0"/>
              <w:jc w:val="center"/>
              <w:rPr>
                <w:rFonts w:ascii="Times New Roman" w:hAnsi="Calibri"/>
                <w:kern w:val="2"/>
                <w:sz w:val="18"/>
              </w:rPr>
            </w:pPr>
            <w:r>
              <w:rPr>
                <w:rFonts w:hint="eastAsia" w:ascii="Times New Roman"/>
                <w:kern w:val="2"/>
                <w:sz w:val="18"/>
              </w:rPr>
              <w:t>kWh/kWh</w:t>
            </w:r>
            <w:r>
              <w:rPr>
                <w:rFonts w:hint="eastAsia" w:hAnsi="宋体"/>
                <w:kern w:val="2"/>
                <w:sz w:val="18"/>
                <w:vertAlign w:val="subscript"/>
              </w:rPr>
              <w:t>终端</w:t>
            </w:r>
          </w:p>
        </w:tc>
        <w:tc>
          <w:tcPr>
            <w:tcW w:w="2732" w:type="dxa"/>
            <w:shd w:val="clear" w:color="auto" w:fill="auto"/>
            <w:vAlign w:val="center"/>
          </w:tcPr>
          <w:p w14:paraId="3B072011">
            <w:pPr>
              <w:pStyle w:val="231"/>
              <w:ind w:firstLine="0" w:firstLineChars="0"/>
              <w:jc w:val="center"/>
              <w:rPr>
                <w:rFonts w:ascii="Times New Roman" w:hAnsi="Calibri"/>
                <w:kern w:val="2"/>
                <w:sz w:val="18"/>
              </w:rPr>
            </w:pPr>
            <w:r>
              <w:rPr>
                <w:rFonts w:hint="eastAsia" w:ascii="Times New Roman"/>
                <w:kern w:val="2"/>
                <w:sz w:val="18"/>
              </w:rPr>
              <w:t>2.6</w:t>
            </w:r>
          </w:p>
        </w:tc>
      </w:tr>
    </w:tbl>
    <w:p w14:paraId="764679A2">
      <w:pPr>
        <w:pStyle w:val="57"/>
        <w:ind w:firstLine="420"/>
      </w:pPr>
    </w:p>
    <w:p w14:paraId="438F66F2">
      <w:pPr>
        <w:pStyle w:val="57"/>
        <w:ind w:firstLine="420"/>
      </w:pPr>
    </w:p>
    <w:bookmarkEnd w:id="74"/>
    <w:p w14:paraId="3EBAA62B">
      <w:pPr>
        <w:pStyle w:val="57"/>
        <w:ind w:firstLine="0" w:firstLineChars="0"/>
        <w:jc w:val="center"/>
      </w:pPr>
      <w:bookmarkStart w:id="83" w:name="BookMark8"/>
      <w:r>
        <w:drawing>
          <wp:inline distT="0" distB="0" distL="0" distR="0">
            <wp:extent cx="1485900" cy="317500"/>
            <wp:effectExtent l="0" t="0" r="0" b="6350"/>
            <wp:docPr id="1825604594" name="图片 4"/>
            <wp:cNvGraphicFramePr/>
            <a:graphic xmlns:a="http://schemas.openxmlformats.org/drawingml/2006/main">
              <a:graphicData uri="http://schemas.openxmlformats.org/drawingml/2006/picture">
                <pic:pic xmlns:pic="http://schemas.openxmlformats.org/drawingml/2006/picture">
                  <pic:nvPicPr>
                    <pic:cNvPr id="1825604594" name="图片 4"/>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83"/>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70888">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34745">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EABB1">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B209C">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2C8E4">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97510">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088EA">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CF6DE">
    <w:pPr>
      <w:pStyle w:val="62"/>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51F09">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forms" w:enforcement="1" w:cryptProviderType="rsaAES" w:cryptAlgorithmClass="hash" w:cryptAlgorithmType="typeAny" w:cryptAlgorithmSid="14" w:cryptSpinCount="100000" w:hash="lc+axCHnb3ayd9eKtIt3+bJOxzpi39aldSZEAAmk3AIErbZ+JJ8BXTrfvLWPQLip8Ifi85naKTUOPxMb6OxX/g==" w:salt="xiKgBLW7PgUMAvMU8qLeOw=="/>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U5ZDE5YmMzZWI3NThmNDllZWYzZjM0ZGNiMDY5NjUifQ=="/>
  </w:docVars>
  <w:rsids>
    <w:rsidRoot w:val="008448E0"/>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883"/>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6D9"/>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69D8"/>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1807"/>
    <w:rsid w:val="002142EA"/>
    <w:rsid w:val="002204BB"/>
    <w:rsid w:val="00221B79"/>
    <w:rsid w:val="00221C6B"/>
    <w:rsid w:val="002253A1"/>
    <w:rsid w:val="00225CF8"/>
    <w:rsid w:val="0022794E"/>
    <w:rsid w:val="00233D64"/>
    <w:rsid w:val="0023482A"/>
    <w:rsid w:val="002359CB"/>
    <w:rsid w:val="00241524"/>
    <w:rsid w:val="00243540"/>
    <w:rsid w:val="0024497B"/>
    <w:rsid w:val="00244D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2AC8"/>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384F"/>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65CA8"/>
    <w:rsid w:val="00470775"/>
    <w:rsid w:val="004746B1"/>
    <w:rsid w:val="0047583F"/>
    <w:rsid w:val="00475DE8"/>
    <w:rsid w:val="00481C44"/>
    <w:rsid w:val="004841B1"/>
    <w:rsid w:val="00484936"/>
    <w:rsid w:val="00485C89"/>
    <w:rsid w:val="00486BE3"/>
    <w:rsid w:val="004905E4"/>
    <w:rsid w:val="00490A89"/>
    <w:rsid w:val="00490AB4"/>
    <w:rsid w:val="00492F02"/>
    <w:rsid w:val="004939AE"/>
    <w:rsid w:val="004A12DF"/>
    <w:rsid w:val="004A17E6"/>
    <w:rsid w:val="004A1BA8"/>
    <w:rsid w:val="004A4B57"/>
    <w:rsid w:val="004A63FA"/>
    <w:rsid w:val="004A7D48"/>
    <w:rsid w:val="004B0272"/>
    <w:rsid w:val="004B2417"/>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53DE"/>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3D53"/>
    <w:rsid w:val="00774DA4"/>
    <w:rsid w:val="00776599"/>
    <w:rsid w:val="0078114B"/>
    <w:rsid w:val="00781DD2"/>
    <w:rsid w:val="00783ECF"/>
    <w:rsid w:val="0078413A"/>
    <w:rsid w:val="007869CC"/>
    <w:rsid w:val="007927B3"/>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5B4"/>
    <w:rsid w:val="007C1E8B"/>
    <w:rsid w:val="007C2D89"/>
    <w:rsid w:val="007C4593"/>
    <w:rsid w:val="007C5309"/>
    <w:rsid w:val="007C6069"/>
    <w:rsid w:val="007D06C4"/>
    <w:rsid w:val="007D1352"/>
    <w:rsid w:val="007D2508"/>
    <w:rsid w:val="007D346A"/>
    <w:rsid w:val="007D3FDC"/>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48E0"/>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55A"/>
    <w:rsid w:val="00895680"/>
    <w:rsid w:val="00896DFF"/>
    <w:rsid w:val="0089762C"/>
    <w:rsid w:val="008A0F73"/>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5DC9"/>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7875"/>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BF7F4E"/>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5A6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5E61"/>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0A08"/>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870B1"/>
    <w:rsid w:val="00E90391"/>
    <w:rsid w:val="00E906C2"/>
    <w:rsid w:val="00E9311F"/>
    <w:rsid w:val="00E934D1"/>
    <w:rsid w:val="00E94AF0"/>
    <w:rsid w:val="00E95D13"/>
    <w:rsid w:val="00E95DD3"/>
    <w:rsid w:val="00E969D5"/>
    <w:rsid w:val="00EA2E27"/>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6EE6"/>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2956"/>
    <w:rsid w:val="00FF3E7D"/>
    <w:rsid w:val="00FF5B99"/>
    <w:rsid w:val="00FF730C"/>
    <w:rsid w:val="00FF73F4"/>
    <w:rsid w:val="00FF7CE4"/>
    <w:rsid w:val="00FF7E39"/>
    <w:rsid w:val="03443858"/>
    <w:rsid w:val="038D3451"/>
    <w:rsid w:val="04E672BC"/>
    <w:rsid w:val="07BB6AF2"/>
    <w:rsid w:val="09FA4A6A"/>
    <w:rsid w:val="0A2A6200"/>
    <w:rsid w:val="0D6E17C9"/>
    <w:rsid w:val="0DD659C4"/>
    <w:rsid w:val="0F50671A"/>
    <w:rsid w:val="11BD1E78"/>
    <w:rsid w:val="126D1873"/>
    <w:rsid w:val="15BA707C"/>
    <w:rsid w:val="1A396F8D"/>
    <w:rsid w:val="1B3423E6"/>
    <w:rsid w:val="1C042A47"/>
    <w:rsid w:val="1D6C47B9"/>
    <w:rsid w:val="1EF108E0"/>
    <w:rsid w:val="1F540C4E"/>
    <w:rsid w:val="24324EE2"/>
    <w:rsid w:val="25280644"/>
    <w:rsid w:val="28BC3D0D"/>
    <w:rsid w:val="33023FBD"/>
    <w:rsid w:val="33705E1F"/>
    <w:rsid w:val="349124F1"/>
    <w:rsid w:val="34EC7F1C"/>
    <w:rsid w:val="35230903"/>
    <w:rsid w:val="35A21DB1"/>
    <w:rsid w:val="37027535"/>
    <w:rsid w:val="37324D47"/>
    <w:rsid w:val="39733A13"/>
    <w:rsid w:val="3AD6536D"/>
    <w:rsid w:val="40153FD6"/>
    <w:rsid w:val="41180DD4"/>
    <w:rsid w:val="42FC322C"/>
    <w:rsid w:val="46292655"/>
    <w:rsid w:val="4AA5063A"/>
    <w:rsid w:val="4AA67BE3"/>
    <w:rsid w:val="51F36792"/>
    <w:rsid w:val="563F3703"/>
    <w:rsid w:val="56DD3EA1"/>
    <w:rsid w:val="573C21EE"/>
    <w:rsid w:val="5999137D"/>
    <w:rsid w:val="5A41145C"/>
    <w:rsid w:val="5E27164D"/>
    <w:rsid w:val="5EB5E0F7"/>
    <w:rsid w:val="5F840C68"/>
    <w:rsid w:val="61EB0B80"/>
    <w:rsid w:val="623B7475"/>
    <w:rsid w:val="6275772C"/>
    <w:rsid w:val="65B23351"/>
    <w:rsid w:val="69BD4C13"/>
    <w:rsid w:val="6A0D471C"/>
    <w:rsid w:val="6AF7F39B"/>
    <w:rsid w:val="6C536030"/>
    <w:rsid w:val="6D8B5729"/>
    <w:rsid w:val="6DFADEFF"/>
    <w:rsid w:val="6F78461C"/>
    <w:rsid w:val="720535FB"/>
    <w:rsid w:val="72C01BE5"/>
    <w:rsid w:val="73B928EF"/>
    <w:rsid w:val="73EFE62C"/>
    <w:rsid w:val="73F65E39"/>
    <w:rsid w:val="74D00AA2"/>
    <w:rsid w:val="75ABF3ED"/>
    <w:rsid w:val="7725670B"/>
    <w:rsid w:val="773C65C7"/>
    <w:rsid w:val="7AF2DA15"/>
    <w:rsid w:val="7B3B1E3C"/>
    <w:rsid w:val="7C6F6D56"/>
    <w:rsid w:val="7DFE093A"/>
    <w:rsid w:val="C7DE415B"/>
    <w:rsid w:val="F5FFC8DB"/>
    <w:rsid w:val="F7EFC63F"/>
    <w:rsid w:val="FFF22875"/>
    <w:rsid w:val="FFFFB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rPr>
      <w:sz w:val="24"/>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vAnchor="page" w:hAnchor="page" w:x="1419" w:y="14097"/>
    </w:pPr>
  </w:style>
  <w:style w:type="paragraph" w:customStyle="1" w:styleId="195">
    <w:name w:val="其他实施日期"/>
    <w:basedOn w:val="155"/>
    <w:qFormat/>
    <w:uiPriority w:val="0"/>
    <w:pPr>
      <w:framePr w:w="3997" w:h="471" w:hRule="exact" w:vSpace="181"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段"/>
    <w:basedOn w:val="1"/>
    <w:qFormat/>
    <w:uiPriority w:val="0"/>
    <w:pPr>
      <w:widowControl/>
      <w:autoSpaceDE w:val="0"/>
      <w:autoSpaceDN w:val="0"/>
      <w:adjustRightInd/>
      <w:spacing w:line="240" w:lineRule="auto"/>
      <w:ind w:firstLine="420" w:firstLineChars="200"/>
    </w:pPr>
    <w:rPr>
      <w:rFonts w:ascii="宋体" w:hAnsi="Times New Roman"/>
      <w:kern w:val="0"/>
    </w:rPr>
  </w:style>
  <w:style w:type="paragraph" w:customStyle="1" w:styleId="23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233">
    <w:name w:val="一级条标题"/>
    <w:basedOn w:val="1"/>
    <w:next w:val="231"/>
    <w:qFormat/>
    <w:uiPriority w:val="0"/>
    <w:pPr>
      <w:widowControl/>
      <w:adjustRightInd/>
      <w:spacing w:beforeLines="50" w:afterLines="50" w:line="240" w:lineRule="auto"/>
      <w:jc w:val="left"/>
      <w:outlineLvl w:val="2"/>
    </w:pPr>
    <w:rPr>
      <w:rFonts w:ascii="黑体" w:hAnsi="Times New Roman" w:eastAsia="黑体"/>
      <w:kern w:val="0"/>
    </w:rPr>
  </w:style>
  <w:style w:type="paragraph" w:customStyle="1" w:styleId="234">
    <w:name w:val="章标题"/>
    <w:basedOn w:val="1"/>
    <w:next w:val="1"/>
    <w:qFormat/>
    <w:uiPriority w:val="0"/>
    <w:pPr>
      <w:widowControl/>
      <w:adjustRightInd/>
      <w:spacing w:beforeLines="100" w:afterLines="100" w:line="240" w:lineRule="auto"/>
      <w:outlineLvl w:val="1"/>
    </w:pPr>
    <w:rPr>
      <w:rFonts w:ascii="黑体" w:hAnsi="Times New Roman" w:eastAsia="黑体"/>
      <w:kern w:val="0"/>
    </w:rPr>
  </w:style>
  <w:style w:type="paragraph" w:customStyle="1" w:styleId="235">
    <w:name w:val="列表段落1"/>
    <w:basedOn w:val="1"/>
    <w:qFormat/>
    <w:uiPriority w:val="0"/>
    <w:pPr>
      <w:adjustRightInd/>
      <w:spacing w:line="240" w:lineRule="auto"/>
      <w:ind w:firstLine="420" w:firstLineChars="200"/>
    </w:pPr>
    <w:rPr>
      <w:rFonts w:ascii="等线" w:hAnsi="等线" w:eastAsia="等线"/>
    </w:rPr>
  </w:style>
  <w:style w:type="paragraph" w:customStyle="1" w:styleId="236">
    <w:name w:val="二级条标题"/>
    <w:basedOn w:val="1"/>
    <w:next w:val="1"/>
    <w:qFormat/>
    <w:uiPriority w:val="0"/>
    <w:pPr>
      <w:widowControl/>
      <w:adjustRightInd/>
      <w:spacing w:beforeLines="50" w:afterLines="50" w:line="240" w:lineRule="auto"/>
      <w:ind w:left="709"/>
      <w:jc w:val="left"/>
      <w:outlineLvl w:val="3"/>
    </w:pPr>
    <w:rPr>
      <w:rFonts w:ascii="黑体" w:hAnsi="Times New Roman" w:eastAsia="黑体"/>
      <w:kern w:val="0"/>
    </w:rPr>
  </w:style>
  <w:style w:type="paragraph" w:customStyle="1" w:styleId="237">
    <w:name w:val="三级条标题"/>
    <w:basedOn w:val="1"/>
    <w:next w:val="1"/>
    <w:qFormat/>
    <w:uiPriority w:val="0"/>
    <w:pPr>
      <w:widowControl/>
      <w:adjustRightInd/>
      <w:spacing w:beforeLines="50" w:afterLines="50" w:line="240" w:lineRule="auto"/>
      <w:jc w:val="left"/>
      <w:outlineLvl w:val="4"/>
    </w:pPr>
    <w:rPr>
      <w:rFonts w:ascii="黑体" w:hAnsi="Times New Roman" w:eastAsia="黑体"/>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3434AF734AA47A882E440C0E386B4A4"/>
        <w:style w:val=""/>
        <w:category>
          <w:name w:val="常规"/>
          <w:gallery w:val="placeholder"/>
        </w:category>
        <w:types>
          <w:type w:val="bbPlcHdr"/>
        </w:types>
        <w:behaviors>
          <w:behavior w:val="content"/>
        </w:behaviors>
        <w:description w:val=""/>
        <w:guid w:val="{5DB51601-58DB-44CE-84F7-1EF75EB703CA}"/>
      </w:docPartPr>
      <w:docPartBody>
        <w:p w14:paraId="3EBD71AC">
          <w:pPr>
            <w:pStyle w:val="5"/>
            <w:rPr>
              <w:rFonts w:hint="eastAsia"/>
            </w:rPr>
          </w:pPr>
          <w:r>
            <w:rPr>
              <w:rStyle w:val="4"/>
              <w:rFonts w:hint="eastAsia"/>
            </w:rPr>
            <w:t>单击或点击此处输入文字。</w:t>
          </w:r>
        </w:p>
      </w:docPartBody>
    </w:docPart>
    <w:docPart>
      <w:docPartPr>
        <w:name w:val="FC7C362FB2E745B8A90E2117AF7973DA"/>
        <w:style w:val=""/>
        <w:category>
          <w:name w:val="常规"/>
          <w:gallery w:val="placeholder"/>
        </w:category>
        <w:types>
          <w:type w:val="bbPlcHdr"/>
        </w:types>
        <w:behaviors>
          <w:behavior w:val="content"/>
        </w:behaviors>
        <w:description w:val=""/>
        <w:guid w:val="{140716AA-5E51-4717-93E3-19D5788DB879}"/>
      </w:docPartPr>
      <w:docPartBody>
        <w:p w14:paraId="5933E794">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E98"/>
    <w:rsid w:val="000171FA"/>
    <w:rsid w:val="00371600"/>
    <w:rsid w:val="003E4DED"/>
    <w:rsid w:val="00436FBF"/>
    <w:rsid w:val="004E41CA"/>
    <w:rsid w:val="00681618"/>
    <w:rsid w:val="00A673F8"/>
    <w:rsid w:val="00C34E98"/>
    <w:rsid w:val="00CD4B88"/>
    <w:rsid w:val="00D55A63"/>
    <w:rsid w:val="00DB5E61"/>
    <w:rsid w:val="00F26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3434AF734AA47A882E440C0E386B4A4"/>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5ECCD7A6305D4CD6BAB11792C61976E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FC7C362FB2E745B8A90E2117AF7973DA"/>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PCMI</Company>
  <Pages>16</Pages>
  <Words>10090</Words>
  <Characters>10804</Characters>
  <Lines>98</Lines>
  <Paragraphs>27</Paragraphs>
  <TotalTime>11</TotalTime>
  <ScaleCrop>false</ScaleCrop>
  <LinksUpToDate>false</LinksUpToDate>
  <CharactersWithSpaces>11043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2024-05-12T11:12:00Z</dcterms:created>
  <dc:creator>User</dc:creator>
  <dc:description>&lt;config cover="true" show_menu="true" version="1.0.0" doctype="SDKXY"&gt;_x000d_
&lt;/config&gt;</dc:description>
  <cp:lastModifiedBy>卢</cp:lastModifiedBy>
  <cp:lastPrinted>2025-01-14T23:20:00Z</cp:lastPrinted>
  <dcterms:modified xsi:type="dcterms:W3CDTF">2025-03-07T03:28:38Z</dcterms:modified>
  <dc:title>地方标准</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BC3422FBCE4543159FA6294B313C27EA_13</vt:lpwstr>
  </property>
  <property fmtid="{D5CDD505-2E9C-101B-9397-08002B2CF9AE}" pid="16" name="KSOTemplateDocerSaveRecord">
    <vt:lpwstr>eyJoZGlkIjoiNmU5ZDE5YmMzZWI3NThmNDllZWYzZjM0ZGNiMDY5NjUiLCJ1c2VySWQiOiIyOTIxMjI5NzYifQ==</vt:lpwstr>
  </property>
</Properties>
</file>