
<file path=[Content_Types].xml><?xml version="1.0" encoding="utf-8"?>
<Types xmlns="http://schemas.openxmlformats.org/package/2006/content-types">
  <Default Extension="xml" ContentType="application/xml"/>
  <Default Extension="tiff" ContentType="image/tif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8"/>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14:paraId="6A6567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1F41A2FF">
            <w:pPr>
              <w:pStyle w:val="18"/>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14:paraId="3416D13A">
            <w:pPr>
              <w:pStyle w:val="18"/>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t>01.040.81</w:t>
            </w:r>
          </w:p>
        </w:tc>
      </w:tr>
      <w:tr w14:paraId="21E54E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4F435382">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14:paraId="64E78BA6">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t xml:space="preserve">A20 </w:t>
            </w:r>
          </w:p>
        </w:tc>
      </w:tr>
    </w:tbl>
    <w:tbl>
      <w:tblPr>
        <w:tblStyle w:val="28"/>
        <w:tblpPr w:leftFromText="180" w:rightFromText="180" w:vertAnchor="text" w:horzAnchor="margin" w:tblpX="2683" w:tblpY="57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221" w:type="dxa"/>
        </w:tblCellMar>
      </w:tblPr>
      <w:tblGrid>
        <w:gridCol w:w="6407"/>
      </w:tblGrid>
      <w:tr w14:paraId="63A41A1B">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221" w:type="dxa"/>
          </w:tblCellMar>
        </w:tblPrEx>
        <w:tc>
          <w:tcPr>
            <w:tcW w:w="6407" w:type="dxa"/>
          </w:tcPr>
          <w:p w14:paraId="75128C7A">
            <w:pPr>
              <w:pStyle w:val="50"/>
              <w:framePr w:w="0" w:hRule="auto" w:wrap="auto" w:vAnchor="margin" w:hAnchor="text" w:xAlign="left" w:yAlign="inline"/>
              <w:rPr>
                <w:rFonts w:ascii="宋体" w:hAnsi="宋体"/>
                <w:sz w:val="28"/>
                <w:szCs w:val="28"/>
              </w:rPr>
            </w:pPr>
            <w:bookmarkStart w:id="0" w:name="_Hlk26473981"/>
            <w:r>
              <w:drawing>
                <wp:inline distT="0" distB="0" distL="0" distR="0">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1" w:name="c1"/>
            <w:r>
              <w:instrText xml:space="preserve"> FORMTEXT </w:instrText>
            </w:r>
            <w:r>
              <w:fldChar w:fldCharType="separate"/>
            </w:r>
            <w:r>
              <w:t>13</w:t>
            </w:r>
            <w:r>
              <w:fldChar w:fldCharType="end"/>
            </w:r>
            <w:bookmarkEnd w:id="1"/>
          </w:p>
        </w:tc>
      </w:tr>
    </w:tbl>
    <w:p w14:paraId="298A6C54">
      <w:pPr>
        <w:pStyle w:val="51"/>
        <w:framePr w:w="9639" w:h="624" w:hRule="exact" w:hSpace="181" w:vSpace="181" w:wrap="around" w:hAnchor="page" w:x="1305" w:y="2269"/>
        <w:rPr>
          <w:rFonts w:ascii="黑体" w:hAnsi="黑体" w:eastAsia="黑体"/>
          <w:b w:val="0"/>
          <w:bCs w:val="0"/>
          <w:w w:val="100"/>
          <w:sz w:val="48"/>
          <w:szCs w:val="48"/>
        </w:rPr>
      </w:pPr>
      <w:r>
        <w:rPr>
          <w:rFonts w:ascii="黑体" w:eastAsia="黑体"/>
          <w:b w:val="0"/>
          <w:w w:val="100"/>
          <w:sz w:val="48"/>
        </w:rPr>
        <w:fldChar w:fldCharType="begin">
          <w:ffData>
            <w:name w:val="c2"/>
            <w:enabled/>
            <w:calcOnExit w:val="0"/>
            <w:textInput/>
          </w:ffData>
        </w:fldChar>
      </w:r>
      <w:bookmarkStart w:id="2" w:name="c2"/>
      <w:r>
        <w:rPr>
          <w:rFonts w:ascii="黑体" w:eastAsia="黑体"/>
          <w:b w:val="0"/>
          <w:w w:val="100"/>
          <w:sz w:val="48"/>
        </w:rPr>
        <w:instrText xml:space="preserve"> FORMTEXT </w:instrText>
      </w:r>
      <w:r>
        <w:rPr>
          <w:rFonts w:ascii="黑体" w:eastAsia="黑体"/>
          <w:b w:val="0"/>
          <w:w w:val="100"/>
          <w:sz w:val="48"/>
        </w:rPr>
        <w:fldChar w:fldCharType="separate"/>
      </w:r>
      <w:r>
        <w:rPr>
          <w:rFonts w:hint="eastAsia" w:ascii="黑体" w:eastAsia="黑体"/>
          <w:b w:val="0"/>
          <w:w w:val="100"/>
          <w:sz w:val="48"/>
        </w:rPr>
        <w:t>河北省</w:t>
      </w:r>
      <w:r>
        <w:rPr>
          <w:rFonts w:ascii="黑体" w:eastAsia="黑体"/>
          <w:b w:val="0"/>
          <w:w w:val="100"/>
          <w:sz w:val="48"/>
        </w:rPr>
        <w:fldChar w:fldCharType="end"/>
      </w:r>
      <w:bookmarkEnd w:id="2"/>
      <w:r>
        <w:rPr>
          <w:rFonts w:hint="eastAsia" w:ascii="黑体" w:hAnsi="黑体" w:eastAsia="黑体"/>
          <w:b w:val="0"/>
          <w:bCs w:val="0"/>
          <w:w w:val="100"/>
          <w:sz w:val="48"/>
          <w:szCs w:val="48"/>
        </w:rPr>
        <w:t>地方标准</w:t>
      </w:r>
    </w:p>
    <w:bookmarkEnd w:id="0"/>
    <w:p w14:paraId="3E6AA948">
      <w:pPr>
        <w:pStyle w:val="196"/>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3" w:name="文字1"/>
      <w:r>
        <w:rPr>
          <w:lang w:val="fr-FR"/>
        </w:rPr>
        <w:instrText xml:space="preserve"> FORMTEXT </w:instrText>
      </w:r>
      <w:r>
        <w:fldChar w:fldCharType="separate"/>
      </w:r>
      <w:r>
        <w:rPr>
          <w:lang w:val="fr-FR"/>
        </w:rPr>
        <w:t>13/T</w:t>
      </w:r>
      <w:r>
        <w:fldChar w:fldCharType="end"/>
      </w:r>
      <w:bookmarkEnd w:id="3"/>
      <w:r>
        <w:rPr>
          <w:lang w:val="fr-FR"/>
        </w:rPr>
        <w:t xml:space="preserve"> </w:t>
      </w:r>
      <w:r>
        <w:fldChar w:fldCharType="begin">
          <w:ffData>
            <w:name w:val="NSTD_CODE_F"/>
            <w:enabled/>
            <w:calcOnExit w:val="0"/>
            <w:textInput>
              <w:default w:val="XXXX"/>
            </w:textInput>
          </w:ffData>
        </w:fldChar>
      </w:r>
      <w:bookmarkStart w:id="4" w:name="NSTD_CODE_F"/>
      <w:r>
        <w:rPr>
          <w:lang w:val="fr-FR"/>
        </w:rPr>
        <w:instrText xml:space="preserve"> FORMTEXT </w:instrText>
      </w:r>
      <w:r>
        <w:fldChar w:fldCharType="separate"/>
      </w:r>
      <w:r>
        <w:rPr>
          <w:lang w:val="fr-FR"/>
        </w:rPr>
        <w:t>XXXX</w:t>
      </w:r>
      <w:r>
        <w:fldChar w:fldCharType="end"/>
      </w:r>
      <w:bookmarkEnd w:id="4"/>
      <w:r>
        <w:rPr>
          <w:rFonts w:hAnsi="黑体"/>
          <w:lang w:val="fr-FR"/>
        </w:rPr>
        <w:t>—</w:t>
      </w:r>
      <w:r>
        <w:t>2025</w:t>
      </w:r>
    </w:p>
    <w:p w14:paraId="1CED1609">
      <w:pPr>
        <w:spacing w:line="240" w:lineRule="auto"/>
        <w:rPr>
          <w:rFonts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14:paraId="4E7319CE">
      <w:pPr>
        <w:pStyle w:val="51"/>
        <w:framePr w:w="9639" w:h="6976" w:hRule="exact" w:hSpace="0" w:vSpace="0" w:wrap="around" w:hAnchor="page" w:y="6408"/>
        <w:jc w:val="center"/>
        <w:rPr>
          <w:rFonts w:ascii="黑体" w:hAnsi="黑体" w:eastAsia="黑体"/>
          <w:b w:val="0"/>
          <w:bCs w:val="0"/>
          <w:w w:val="100"/>
        </w:rPr>
      </w:pPr>
    </w:p>
    <w:p w14:paraId="30B1D911">
      <w:pPr>
        <w:pStyle w:val="198"/>
        <w:framePr w:x="1421" w:y="6461"/>
      </w:pPr>
      <w:r>
        <w:fldChar w:fldCharType="begin">
          <w:ffData>
            <w:name w:val="CSTD_NAME"/>
            <w:enabled/>
            <w:calcOnExit w:val="0"/>
            <w:textInput>
              <w:default w:val="点击此处添加标准名称"/>
            </w:textInput>
          </w:ffData>
        </w:fldChar>
      </w:r>
      <w:bookmarkStart w:id="5" w:name="CSTD_NAME"/>
      <w:r>
        <w:instrText xml:space="preserve"> FORMTEXT </w:instrText>
      </w:r>
      <w:r>
        <w:fldChar w:fldCharType="separate"/>
      </w:r>
      <w:r>
        <w:t>非物质文化遗产</w:t>
      </w:r>
      <w:r>
        <w:rPr>
          <w:rFonts w:hint="eastAsia"/>
        </w:rPr>
        <w:t xml:space="preserve">  </w:t>
      </w:r>
      <w:r>
        <w:t xml:space="preserve">定瓷工艺规程 </w:t>
      </w:r>
    </w:p>
    <w:p w14:paraId="31E123DD">
      <w:pPr>
        <w:pStyle w:val="198"/>
        <w:framePr w:x="1421" w:y="6461"/>
      </w:pPr>
      <w:r>
        <w:t>第</w:t>
      </w:r>
      <w:r>
        <w:rPr>
          <w:rFonts w:hint="eastAsia"/>
        </w:rPr>
        <w:t>7</w:t>
      </w:r>
      <w:r>
        <w:t>部分：烧成工艺</w:t>
      </w:r>
      <w:r>
        <w:fldChar w:fldCharType="end"/>
      </w:r>
      <w:bookmarkEnd w:id="5"/>
    </w:p>
    <w:p w14:paraId="2529A217">
      <w:pPr>
        <w:framePr w:w="9639" w:h="6974" w:hRule="exact" w:wrap="around" w:vAnchor="page" w:hAnchor="page" w:x="1419" w:y="6408" w:anchorLock="1"/>
        <w:ind w:left="-1418"/>
      </w:pPr>
    </w:p>
    <w:p w14:paraId="493C06CD">
      <w:pPr>
        <w:pStyle w:val="126"/>
        <w:framePr w:w="9639" w:h="6974" w:hRule="exact" w:wrap="around" w:vAnchor="page" w:hAnchor="page" w:x="1419" w:y="6408" w:anchorLock="1"/>
        <w:textAlignment w:val="bottom"/>
        <w:rPr>
          <w:rFonts w:ascii="宋体" w:hAnsi="宋体"/>
          <w:sz w:val="21"/>
          <w:szCs w:val="21"/>
        </w:rPr>
      </w:pPr>
    </w:p>
    <w:p w14:paraId="1EDDB407">
      <w:pPr>
        <w:pStyle w:val="126"/>
        <w:framePr w:w="9639" w:h="6974" w:hRule="exact" w:wrap="around" w:vAnchor="page" w:hAnchor="page" w:x="1419" w:y="6408" w:anchorLock="1"/>
        <w:textAlignment w:val="bottom"/>
        <w:rPr>
          <w:sz w:val="21"/>
          <w:szCs w:val="21"/>
        </w:rPr>
      </w:pPr>
    </w:p>
    <w:p w14:paraId="3A5023F2">
      <w:pPr>
        <w:pStyle w:val="126"/>
        <w:framePr w:w="9639" w:h="6974" w:hRule="exact" w:wrap="around" w:vAnchor="page" w:hAnchor="page" w:x="1419" w:y="6408" w:anchorLock="1"/>
        <w:textAlignment w:val="bottom"/>
        <w:rPr>
          <w:sz w:val="24"/>
          <w:szCs w:val="24"/>
        </w:rPr>
      </w:pPr>
    </w:p>
    <w:p w14:paraId="2F7FC59E">
      <w:pPr>
        <w:pStyle w:val="126"/>
        <w:framePr w:w="9639" w:h="6974" w:hRule="exact" w:wrap="around" w:vAnchor="page" w:hAnchor="page" w:x="1419" w:y="6408" w:anchorLock="1"/>
        <w:textAlignment w:val="bottom"/>
        <w:rPr>
          <w:sz w:val="24"/>
          <w:szCs w:val="24"/>
        </w:rPr>
      </w:pPr>
    </w:p>
    <w:p w14:paraId="53CD1BE8">
      <w:pPr>
        <w:pStyle w:val="126"/>
        <w:framePr w:w="9639" w:h="6974" w:hRule="exact" w:wrap="around" w:vAnchor="page" w:hAnchor="page" w:x="1419" w:y="6408" w:anchorLock="1"/>
        <w:textAlignment w:val="bottom"/>
        <w:rPr>
          <w:sz w:val="24"/>
          <w:szCs w:val="24"/>
        </w:rPr>
      </w:pPr>
    </w:p>
    <w:p w14:paraId="7EB4877E">
      <w:pPr>
        <w:pStyle w:val="126"/>
        <w:framePr w:w="9639" w:h="6974" w:hRule="exact" w:wrap="around" w:vAnchor="page" w:hAnchor="page" w:x="1419" w:y="6408" w:anchorLock="1"/>
        <w:textAlignment w:val="bottom"/>
        <w:rPr>
          <w:sz w:val="24"/>
          <w:szCs w:val="24"/>
        </w:rPr>
      </w:pPr>
    </w:p>
    <w:p w14:paraId="6EBEE269">
      <w:pPr>
        <w:pStyle w:val="126"/>
        <w:framePr w:w="9639" w:h="6974" w:hRule="exact" w:wrap="around" w:vAnchor="page" w:hAnchor="page" w:x="1419" w:y="6408" w:anchorLock="1"/>
        <w:textAlignment w:val="bottom"/>
        <w:rPr>
          <w:sz w:val="24"/>
          <w:szCs w:val="24"/>
        </w:rPr>
      </w:pPr>
      <w:r>
        <w:rPr>
          <w:sz w:val="24"/>
          <w:szCs w:val="24"/>
        </w:rPr>
        <w:t>（</w:t>
      </w:r>
      <w:r>
        <w:rPr>
          <w:rFonts w:hint="eastAsia"/>
          <w:sz w:val="24"/>
          <w:szCs w:val="24"/>
        </w:rPr>
        <w:t>征求意见稿</w:t>
      </w:r>
      <w:r>
        <w:rPr>
          <w:sz w:val="24"/>
          <w:szCs w:val="24"/>
        </w:rPr>
        <w:t>）</w:t>
      </w:r>
    </w:p>
    <w:p w14:paraId="2C00B6E1">
      <w:pPr>
        <w:pStyle w:val="194"/>
        <w:framePr w:wrap="around" w:y="14176"/>
      </w:pPr>
      <w:r>
        <w:rPr>
          <w:rFonts w:hint="eastAsia"/>
        </w:rPr>
        <w:t>202</w:t>
      </w:r>
      <w:r>
        <w:t>5</w:t>
      </w:r>
      <w:r>
        <w:rPr>
          <w:rFonts w:hint="eastAsia"/>
        </w:rPr>
        <w:t>-</w:t>
      </w:r>
      <w:r>
        <w:t xml:space="preserve"> </w:t>
      </w:r>
      <w:r>
        <w:rPr>
          <w:rFonts w:ascii="黑体"/>
        </w:rPr>
        <w:fldChar w:fldCharType="begin">
          <w:ffData>
            <w:name w:val="PLSH_DATE_M"/>
            <w:enabled/>
            <w:calcOnExit w:val="0"/>
            <w:textInput>
              <w:default w:val="XX"/>
              <w:maxLength w:val="2"/>
            </w:textInput>
          </w:ffData>
        </w:fldChar>
      </w:r>
      <w:bookmarkStart w:id="6" w:name="PLSH_DATE_M"/>
      <w:r>
        <w:rPr>
          <w:rFonts w:ascii="黑体"/>
        </w:rPr>
        <w:instrText xml:space="preserve"> FORMTEXT </w:instrText>
      </w:r>
      <w:r>
        <w:rPr>
          <w:rFonts w:ascii="黑体"/>
        </w:rPr>
        <w:fldChar w:fldCharType="separate"/>
      </w:r>
      <w:r>
        <w:rPr>
          <w:rFonts w:ascii="黑体"/>
        </w:rPr>
        <w:t>  </w:t>
      </w:r>
      <w:r>
        <w:rPr>
          <w:rFonts w:ascii="黑体"/>
        </w:rPr>
        <w:fldChar w:fldCharType="end"/>
      </w:r>
      <w:bookmarkEnd w:id="6"/>
      <w:r>
        <w:rPr>
          <w:rFonts w:hint="eastAsia" w:ascii="黑体"/>
        </w:rPr>
        <w:t>-</w:t>
      </w:r>
      <w:r>
        <w:t xml:space="preserve"> </w:t>
      </w:r>
      <w:r>
        <w:rPr>
          <w:rFonts w:ascii="黑体"/>
        </w:rPr>
        <w:fldChar w:fldCharType="begin">
          <w:ffData>
            <w:name w:val="PLSH_DATE_D"/>
            <w:enabled/>
            <w:calcOnExit w:val="0"/>
            <w:textInput>
              <w:default w:val="XX"/>
              <w:maxLength w:val="2"/>
            </w:textInput>
          </w:ffData>
        </w:fldChar>
      </w:r>
      <w:bookmarkStart w:id="7"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7"/>
      <w:r>
        <w:rPr>
          <w:rFonts w:hint="eastAsia"/>
        </w:rPr>
        <w:t>发布</w:t>
      </w:r>
    </w:p>
    <w:p w14:paraId="32749C66">
      <w:pPr>
        <w:pStyle w:val="195"/>
        <w:framePr w:wrap="around" w:y="14176"/>
      </w:pPr>
      <w:r>
        <w:rPr>
          <w:rFonts w:hint="eastAsia"/>
        </w:rPr>
        <w:t>202</w:t>
      </w:r>
      <w:r>
        <w:t>5</w:t>
      </w:r>
      <w:r>
        <w:rPr>
          <w:rFonts w:hint="eastAsia"/>
        </w:rPr>
        <w:t>-</w:t>
      </w:r>
      <w:r>
        <w:t xml:space="preserve"> </w:t>
      </w:r>
      <w:r>
        <w:rPr>
          <w:rFonts w:ascii="黑体"/>
        </w:rPr>
        <w:fldChar w:fldCharType="begin">
          <w:ffData>
            <w:name w:val="CROT_DATE_M"/>
            <w:enabled/>
            <w:calcOnExit w:val="0"/>
            <w:textInput>
              <w:default w:val="XX"/>
              <w:maxLength w:val="2"/>
            </w:textInput>
          </w:ffData>
        </w:fldChar>
      </w:r>
      <w:bookmarkStart w:id="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8"/>
      <w:r>
        <w:rPr>
          <w:rFonts w:hint="eastAsia" w:ascii="黑体"/>
        </w:rPr>
        <w:t>-</w:t>
      </w:r>
      <w:r>
        <w:t xml:space="preserve"> </w:t>
      </w:r>
      <w:r>
        <w:rPr>
          <w:rFonts w:ascii="黑体"/>
        </w:rPr>
        <w:fldChar w:fldCharType="begin">
          <w:ffData>
            <w:name w:val="CROT_DATE_D"/>
            <w:enabled/>
            <w:calcOnExit w:val="0"/>
            <w:textInput>
              <w:default w:val="XX"/>
              <w:maxLength w:val="2"/>
            </w:textInput>
          </w:ffData>
        </w:fldChar>
      </w:r>
      <w:bookmarkStart w:id="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9"/>
      <w:r>
        <w:rPr>
          <w:rFonts w:hint="eastAsia"/>
        </w:rPr>
        <w:t>实施</w:t>
      </w:r>
    </w:p>
    <w:p w14:paraId="3EA0B38C">
      <w:pPr>
        <w:pStyle w:val="152"/>
        <w:framePr w:h="584" w:hRule="exact" w:hSpace="181" w:vSpace="181" w:wrap="around" w:y="15027"/>
        <w:rPr>
          <w:rFonts w:hAnsi="黑体"/>
        </w:rPr>
      </w:pPr>
      <w:r>
        <w:rPr>
          <w:rFonts w:hAnsi="黑体"/>
          <w:w w:val="100"/>
          <w:sz w:val="28"/>
        </w:rPr>
        <w:fldChar w:fldCharType="begin">
          <w:ffData>
            <w:name w:val="fm"/>
            <w:enabled/>
            <w:calcOnExit w:val="0"/>
            <w:textInput/>
          </w:ffData>
        </w:fldChar>
      </w:r>
      <w:bookmarkStart w:id="10" w:name="fm"/>
      <w:r>
        <w:rPr>
          <w:rFonts w:hAnsi="黑体"/>
          <w:w w:val="100"/>
          <w:sz w:val="28"/>
        </w:rPr>
        <w:instrText xml:space="preserve"> FORMTEXT </w:instrText>
      </w:r>
      <w:r>
        <w:rPr>
          <w:rFonts w:hAnsi="黑体"/>
          <w:w w:val="100"/>
          <w:sz w:val="28"/>
        </w:rPr>
        <w:fldChar w:fldCharType="separate"/>
      </w:r>
      <w:r>
        <w:rPr>
          <w:rFonts w:hint="eastAsia" w:hAnsi="黑体"/>
          <w:w w:val="100"/>
          <w:sz w:val="28"/>
        </w:rPr>
        <w:t>河北省市场监督管理局</w:t>
      </w:r>
      <w:r>
        <w:rPr>
          <w:rFonts w:hAnsi="黑体"/>
          <w:w w:val="100"/>
          <w:sz w:val="28"/>
        </w:rPr>
        <w:fldChar w:fldCharType="end"/>
      </w:r>
      <w:bookmarkEnd w:id="10"/>
      <w:r>
        <w:rPr>
          <w:rFonts w:ascii="Times New Roman"/>
          <w:w w:val="100"/>
          <w:sz w:val="28"/>
        </w:rPr>
        <w:t>  </w:t>
      </w:r>
      <w:r>
        <w:rPr>
          <w:rStyle w:val="230"/>
          <w:rFonts w:hint="eastAsia" w:hAnsi="黑体"/>
          <w:position w:val="0"/>
        </w:rPr>
        <w:t>发</w:t>
      </w:r>
      <w:r>
        <w:rPr>
          <w:rStyle w:val="230"/>
          <w:rFonts w:hint="eastAsia" w:hAnsi="黑体"/>
          <w:spacing w:val="0"/>
          <w:position w:val="0"/>
        </w:rPr>
        <w:t>布</w:t>
      </w:r>
    </w:p>
    <w:p w14:paraId="549A132D">
      <w:pPr>
        <w:rPr>
          <w:rFonts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338" w:right="1134" w:bottom="1021" w:left="1134" w:header="0" w:footer="0"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14:paraId="5D4FB050">
      <w:pPr>
        <w:pStyle w:val="92"/>
        <w:spacing w:after="468"/>
        <w:rPr>
          <w:rFonts w:hint="eastAsia"/>
        </w:rPr>
      </w:pPr>
      <w:bookmarkStart w:id="11" w:name="BookMark1"/>
      <w:r>
        <w:rPr>
          <w:rFonts w:hint="eastAsia"/>
          <w:spacing w:val="320"/>
        </w:rPr>
        <w:t>目</w:t>
      </w:r>
      <w:r>
        <w:rPr>
          <w:rFonts w:hint="eastAsia"/>
        </w:rPr>
        <w:t>次</w:t>
      </w:r>
    </w:p>
    <w:p w14:paraId="34BB72E4">
      <w:pPr>
        <w:pStyle w:val="19"/>
        <w:tabs>
          <w:tab w:val="right" w:leader="dot" w:pos="9344"/>
        </w:tabs>
        <w:rPr>
          <w:rFonts w:asciiTheme="minorHAnsi" w:hAnsiTheme="minorHAnsi" w:eastAsiaTheme="minorEastAsia" w:cstheme="minorBidi"/>
          <w:szCs w:val="22"/>
        </w:rPr>
      </w:pPr>
      <w:r>
        <w:fldChar w:fldCharType="begin"/>
      </w:r>
      <w:r>
        <w:instrText xml:space="preserve"> TOC \o "1-1" \h \t "标准文件_一级条标题,2,标准文件_附录一级条标题,2," </w:instrText>
      </w:r>
      <w:r>
        <w:fldChar w:fldCharType="separate"/>
      </w:r>
      <w:r>
        <w:fldChar w:fldCharType="begin"/>
      </w:r>
      <w:r>
        <w:instrText xml:space="preserve"> HYPERLINK \l "_Toc194937537" </w:instrText>
      </w:r>
      <w:r>
        <w:fldChar w:fldCharType="separate"/>
      </w:r>
      <w:r>
        <w:rPr>
          <w:rStyle w:val="33"/>
        </w:rPr>
        <w:t>引言</w:t>
      </w:r>
      <w:r>
        <w:tab/>
      </w:r>
      <w:r>
        <w:fldChar w:fldCharType="begin"/>
      </w:r>
      <w:r>
        <w:instrText xml:space="preserve"> PAGEREF _Toc194937537 \h </w:instrText>
      </w:r>
      <w:r>
        <w:fldChar w:fldCharType="separate"/>
      </w:r>
      <w:r>
        <w:t>III</w:t>
      </w:r>
      <w:r>
        <w:fldChar w:fldCharType="end"/>
      </w:r>
      <w:r>
        <w:fldChar w:fldCharType="end"/>
      </w:r>
    </w:p>
    <w:p w14:paraId="16335618">
      <w:pPr>
        <w:pStyle w:val="19"/>
        <w:tabs>
          <w:tab w:val="right" w:leader="dot" w:pos="9344"/>
        </w:tabs>
        <w:rPr>
          <w:rFonts w:asciiTheme="minorHAnsi" w:hAnsiTheme="minorHAnsi" w:eastAsiaTheme="minorEastAsia" w:cstheme="minorBidi"/>
          <w:szCs w:val="22"/>
        </w:rPr>
      </w:pPr>
      <w:r>
        <w:fldChar w:fldCharType="begin"/>
      </w:r>
      <w:r>
        <w:instrText xml:space="preserve"> HYPERLINK \l "_Toc194937538" </w:instrText>
      </w:r>
      <w:r>
        <w:fldChar w:fldCharType="separate"/>
      </w:r>
      <w:r>
        <w:rPr>
          <w:rStyle w:val="33"/>
        </w:rPr>
        <w:t>1  范围</w:t>
      </w:r>
      <w:r>
        <w:tab/>
      </w:r>
      <w:r>
        <w:fldChar w:fldCharType="begin"/>
      </w:r>
      <w:r>
        <w:instrText xml:space="preserve"> PAGEREF _Toc194937538 \h </w:instrText>
      </w:r>
      <w:r>
        <w:fldChar w:fldCharType="separate"/>
      </w:r>
      <w:r>
        <w:t>1</w:t>
      </w:r>
      <w:r>
        <w:fldChar w:fldCharType="end"/>
      </w:r>
      <w:r>
        <w:fldChar w:fldCharType="end"/>
      </w:r>
    </w:p>
    <w:p w14:paraId="4A7A9236">
      <w:pPr>
        <w:pStyle w:val="19"/>
        <w:tabs>
          <w:tab w:val="right" w:leader="dot" w:pos="9344"/>
        </w:tabs>
        <w:rPr>
          <w:rFonts w:asciiTheme="minorHAnsi" w:hAnsiTheme="minorHAnsi" w:eastAsiaTheme="minorEastAsia" w:cstheme="minorBidi"/>
          <w:szCs w:val="22"/>
        </w:rPr>
      </w:pPr>
      <w:r>
        <w:fldChar w:fldCharType="begin"/>
      </w:r>
      <w:r>
        <w:instrText xml:space="preserve"> HYPERLINK \l "_Toc194937539" </w:instrText>
      </w:r>
      <w:r>
        <w:fldChar w:fldCharType="separate"/>
      </w:r>
      <w:r>
        <w:rPr>
          <w:rStyle w:val="33"/>
        </w:rPr>
        <w:t>2  规范性引用文件</w:t>
      </w:r>
      <w:r>
        <w:tab/>
      </w:r>
      <w:r>
        <w:fldChar w:fldCharType="begin"/>
      </w:r>
      <w:r>
        <w:instrText xml:space="preserve"> PAGEREF _Toc194937539 \h </w:instrText>
      </w:r>
      <w:r>
        <w:fldChar w:fldCharType="separate"/>
      </w:r>
      <w:r>
        <w:t>1</w:t>
      </w:r>
      <w:r>
        <w:fldChar w:fldCharType="end"/>
      </w:r>
      <w:r>
        <w:fldChar w:fldCharType="end"/>
      </w:r>
    </w:p>
    <w:p w14:paraId="5B4803FF">
      <w:pPr>
        <w:pStyle w:val="19"/>
        <w:tabs>
          <w:tab w:val="right" w:leader="dot" w:pos="9344"/>
        </w:tabs>
        <w:rPr>
          <w:rFonts w:asciiTheme="minorHAnsi" w:hAnsiTheme="minorHAnsi" w:eastAsiaTheme="minorEastAsia" w:cstheme="minorBidi"/>
          <w:szCs w:val="22"/>
        </w:rPr>
      </w:pPr>
      <w:r>
        <w:fldChar w:fldCharType="begin"/>
      </w:r>
      <w:r>
        <w:instrText xml:space="preserve"> HYPERLINK \l "_Toc194937540" </w:instrText>
      </w:r>
      <w:r>
        <w:fldChar w:fldCharType="separate"/>
      </w:r>
      <w:r>
        <w:rPr>
          <w:rStyle w:val="33"/>
        </w:rPr>
        <w:t>3  术语和定义</w:t>
      </w:r>
      <w:r>
        <w:tab/>
      </w:r>
      <w:r>
        <w:fldChar w:fldCharType="begin"/>
      </w:r>
      <w:r>
        <w:instrText xml:space="preserve"> PAGEREF _Toc194937540 \h </w:instrText>
      </w:r>
      <w:r>
        <w:fldChar w:fldCharType="separate"/>
      </w:r>
      <w:r>
        <w:t>1</w:t>
      </w:r>
      <w:r>
        <w:fldChar w:fldCharType="end"/>
      </w:r>
      <w:r>
        <w:fldChar w:fldCharType="end"/>
      </w:r>
    </w:p>
    <w:p w14:paraId="74CE3A6E">
      <w:pPr>
        <w:pStyle w:val="19"/>
        <w:tabs>
          <w:tab w:val="right" w:leader="dot" w:pos="9344"/>
        </w:tabs>
        <w:rPr>
          <w:rFonts w:asciiTheme="minorHAnsi" w:hAnsiTheme="minorHAnsi" w:eastAsiaTheme="minorEastAsia" w:cstheme="minorBidi"/>
          <w:szCs w:val="22"/>
        </w:rPr>
      </w:pPr>
      <w:r>
        <w:fldChar w:fldCharType="begin"/>
      </w:r>
      <w:r>
        <w:instrText xml:space="preserve"> HYPERLINK \l "_Toc194937541" </w:instrText>
      </w:r>
      <w:r>
        <w:fldChar w:fldCharType="separate"/>
      </w:r>
      <w:r>
        <w:rPr>
          <w:rStyle w:val="33"/>
        </w:rPr>
        <w:t>4  工艺流程</w:t>
      </w:r>
      <w:r>
        <w:tab/>
      </w:r>
      <w:r>
        <w:fldChar w:fldCharType="begin"/>
      </w:r>
      <w:r>
        <w:instrText xml:space="preserve"> PAGEREF _Toc194937541 \h </w:instrText>
      </w:r>
      <w:r>
        <w:fldChar w:fldCharType="separate"/>
      </w:r>
      <w:r>
        <w:t>1</w:t>
      </w:r>
      <w:r>
        <w:fldChar w:fldCharType="end"/>
      </w:r>
      <w:r>
        <w:fldChar w:fldCharType="end"/>
      </w:r>
    </w:p>
    <w:p w14:paraId="26A48446">
      <w:pPr>
        <w:pStyle w:val="19"/>
        <w:tabs>
          <w:tab w:val="right" w:leader="dot" w:pos="9344"/>
        </w:tabs>
        <w:rPr>
          <w:rFonts w:asciiTheme="minorHAnsi" w:hAnsiTheme="minorHAnsi" w:eastAsiaTheme="minorEastAsia" w:cstheme="minorBidi"/>
          <w:szCs w:val="22"/>
        </w:rPr>
      </w:pPr>
      <w:r>
        <w:fldChar w:fldCharType="begin"/>
      </w:r>
      <w:r>
        <w:instrText xml:space="preserve"> HYPERLINK \l "_Toc194937542" </w:instrText>
      </w:r>
      <w:r>
        <w:fldChar w:fldCharType="separate"/>
      </w:r>
      <w:r>
        <w:rPr>
          <w:rStyle w:val="33"/>
        </w:rPr>
        <w:t>5  工艺操作</w:t>
      </w:r>
      <w:r>
        <w:tab/>
      </w:r>
      <w:r>
        <w:fldChar w:fldCharType="begin"/>
      </w:r>
      <w:r>
        <w:instrText xml:space="preserve"> PAGEREF _Toc194937542 \h </w:instrText>
      </w:r>
      <w:r>
        <w:fldChar w:fldCharType="separate"/>
      </w:r>
      <w:r>
        <w:t>1</w:t>
      </w:r>
      <w:r>
        <w:fldChar w:fldCharType="end"/>
      </w:r>
      <w:r>
        <w:fldChar w:fldCharType="end"/>
      </w:r>
    </w:p>
    <w:p w14:paraId="10734414">
      <w:pPr>
        <w:pStyle w:val="24"/>
        <w:rPr>
          <w:rFonts w:asciiTheme="minorHAnsi" w:hAnsiTheme="minorHAnsi" w:eastAsiaTheme="minorEastAsia" w:cstheme="minorBidi"/>
          <w:szCs w:val="22"/>
        </w:rPr>
      </w:pPr>
      <w:r>
        <w:fldChar w:fldCharType="begin"/>
      </w:r>
      <w:r>
        <w:instrText xml:space="preserve"> HYPERLINK \l "_Toc194937543" </w:instrText>
      </w:r>
      <w:r>
        <w:fldChar w:fldCharType="separate"/>
      </w:r>
      <w:r>
        <w:rPr>
          <w:rStyle w:val="33"/>
          <w14:scene3d>
            <w14:lightRig w14:rig="threePt" w14:dir="t">
              <w14:rot w14:lat="0" w14:lon="0" w14:rev="0"/>
            </w14:lightRig>
          </w14:scene3d>
        </w:rPr>
        <w:t xml:space="preserve">5.1 </w:t>
      </w:r>
      <w:r>
        <w:rPr>
          <w:rStyle w:val="33"/>
        </w:rPr>
        <w:t xml:space="preserve"> 素烧</w:t>
      </w:r>
      <w:r>
        <w:tab/>
      </w:r>
      <w:r>
        <w:fldChar w:fldCharType="begin"/>
      </w:r>
      <w:r>
        <w:instrText xml:space="preserve"> PAGEREF _Toc194937543 \h </w:instrText>
      </w:r>
      <w:r>
        <w:fldChar w:fldCharType="separate"/>
      </w:r>
      <w:r>
        <w:t>1</w:t>
      </w:r>
      <w:r>
        <w:fldChar w:fldCharType="end"/>
      </w:r>
      <w:r>
        <w:fldChar w:fldCharType="end"/>
      </w:r>
    </w:p>
    <w:p w14:paraId="31077428">
      <w:pPr>
        <w:pStyle w:val="24"/>
        <w:rPr>
          <w:rFonts w:asciiTheme="minorHAnsi" w:hAnsiTheme="minorHAnsi" w:eastAsiaTheme="minorEastAsia" w:cstheme="minorBidi"/>
          <w:szCs w:val="22"/>
        </w:rPr>
      </w:pPr>
      <w:r>
        <w:fldChar w:fldCharType="begin"/>
      </w:r>
      <w:r>
        <w:instrText xml:space="preserve"> HYPERLINK \l "_Toc194937544" </w:instrText>
      </w:r>
      <w:r>
        <w:fldChar w:fldCharType="separate"/>
      </w:r>
      <w:r>
        <w:rPr>
          <w:rStyle w:val="33"/>
          <w14:scene3d>
            <w14:lightRig w14:rig="threePt" w14:dir="t">
              <w14:rot w14:lat="0" w14:lon="0" w14:rev="0"/>
            </w14:lightRig>
          </w14:scene3d>
        </w:rPr>
        <w:t xml:space="preserve">5.2 </w:t>
      </w:r>
      <w:r>
        <w:rPr>
          <w:rStyle w:val="33"/>
        </w:rPr>
        <w:t xml:space="preserve"> 打底标</w:t>
      </w:r>
      <w:r>
        <w:tab/>
      </w:r>
      <w:r>
        <w:fldChar w:fldCharType="begin"/>
      </w:r>
      <w:r>
        <w:instrText xml:space="preserve"> PAGEREF _Toc194937544 \h </w:instrText>
      </w:r>
      <w:r>
        <w:fldChar w:fldCharType="separate"/>
      </w:r>
      <w:r>
        <w:t>2</w:t>
      </w:r>
      <w:r>
        <w:fldChar w:fldCharType="end"/>
      </w:r>
      <w:r>
        <w:fldChar w:fldCharType="end"/>
      </w:r>
    </w:p>
    <w:p w14:paraId="05FFE18D">
      <w:pPr>
        <w:pStyle w:val="24"/>
        <w:rPr>
          <w:rFonts w:asciiTheme="minorHAnsi" w:hAnsiTheme="minorHAnsi" w:eastAsiaTheme="minorEastAsia" w:cstheme="minorBidi"/>
          <w:szCs w:val="22"/>
        </w:rPr>
      </w:pPr>
      <w:r>
        <w:fldChar w:fldCharType="begin"/>
      </w:r>
      <w:r>
        <w:instrText xml:space="preserve"> HYPERLINK \l "_Toc194937545" </w:instrText>
      </w:r>
      <w:r>
        <w:fldChar w:fldCharType="separate"/>
      </w:r>
      <w:r>
        <w:rPr>
          <w:rStyle w:val="33"/>
          <w14:scene3d>
            <w14:lightRig w14:rig="threePt" w14:dir="t">
              <w14:rot w14:lat="0" w14:lon="0" w14:rev="0"/>
            </w14:lightRig>
          </w14:scene3d>
        </w:rPr>
        <w:t xml:space="preserve">5.3 </w:t>
      </w:r>
      <w:r>
        <w:rPr>
          <w:rStyle w:val="33"/>
        </w:rPr>
        <w:t xml:space="preserve"> 施釉（白釉）</w:t>
      </w:r>
      <w:r>
        <w:tab/>
      </w:r>
      <w:r>
        <w:fldChar w:fldCharType="begin"/>
      </w:r>
      <w:r>
        <w:instrText xml:space="preserve"> PAGEREF _Toc194937545 \h </w:instrText>
      </w:r>
      <w:r>
        <w:fldChar w:fldCharType="separate"/>
      </w:r>
      <w:r>
        <w:t>3</w:t>
      </w:r>
      <w:r>
        <w:fldChar w:fldCharType="end"/>
      </w:r>
      <w:r>
        <w:fldChar w:fldCharType="end"/>
      </w:r>
    </w:p>
    <w:p w14:paraId="447C887B">
      <w:pPr>
        <w:pStyle w:val="24"/>
        <w:rPr>
          <w:rFonts w:asciiTheme="minorHAnsi" w:hAnsiTheme="minorHAnsi" w:eastAsiaTheme="minorEastAsia" w:cstheme="minorBidi"/>
          <w:szCs w:val="22"/>
        </w:rPr>
      </w:pPr>
      <w:r>
        <w:fldChar w:fldCharType="begin"/>
      </w:r>
      <w:r>
        <w:instrText xml:space="preserve"> HYPERLINK \l "_Toc194937546" </w:instrText>
      </w:r>
      <w:r>
        <w:fldChar w:fldCharType="separate"/>
      </w:r>
      <w:r>
        <w:rPr>
          <w:rStyle w:val="33"/>
        </w:rPr>
        <w:t>5.4  施釉（色釉）</w:t>
      </w:r>
      <w:r>
        <w:tab/>
      </w:r>
      <w:r>
        <w:fldChar w:fldCharType="begin"/>
      </w:r>
      <w:r>
        <w:instrText xml:space="preserve"> PAGEREF _Toc194937546 \h </w:instrText>
      </w:r>
      <w:r>
        <w:fldChar w:fldCharType="separate"/>
      </w:r>
      <w:r>
        <w:t>4</w:t>
      </w:r>
      <w:r>
        <w:fldChar w:fldCharType="end"/>
      </w:r>
      <w:r>
        <w:fldChar w:fldCharType="end"/>
      </w:r>
    </w:p>
    <w:p w14:paraId="788CC19A">
      <w:pPr>
        <w:pStyle w:val="24"/>
        <w:rPr>
          <w:rFonts w:asciiTheme="minorHAnsi" w:hAnsiTheme="minorHAnsi" w:eastAsiaTheme="minorEastAsia" w:cstheme="minorBidi"/>
          <w:szCs w:val="22"/>
        </w:rPr>
      </w:pPr>
      <w:r>
        <w:fldChar w:fldCharType="begin"/>
      </w:r>
      <w:r>
        <w:instrText xml:space="preserve"> HYPERLINK \l "_Toc194937547" </w:instrText>
      </w:r>
      <w:r>
        <w:fldChar w:fldCharType="separate"/>
      </w:r>
      <w:r>
        <w:rPr>
          <w:rStyle w:val="33"/>
        </w:rPr>
        <w:t>5.5  装窑</w:t>
      </w:r>
      <w:r>
        <w:tab/>
      </w:r>
      <w:r>
        <w:fldChar w:fldCharType="begin"/>
      </w:r>
      <w:r>
        <w:instrText xml:space="preserve"> PAGEREF _Toc194937547 \h </w:instrText>
      </w:r>
      <w:r>
        <w:fldChar w:fldCharType="separate"/>
      </w:r>
      <w:r>
        <w:t>4</w:t>
      </w:r>
      <w:r>
        <w:fldChar w:fldCharType="end"/>
      </w:r>
      <w:r>
        <w:fldChar w:fldCharType="end"/>
      </w:r>
    </w:p>
    <w:p w14:paraId="634E634E">
      <w:pPr>
        <w:pStyle w:val="24"/>
        <w:rPr>
          <w:rFonts w:asciiTheme="minorHAnsi" w:hAnsiTheme="minorHAnsi" w:eastAsiaTheme="minorEastAsia" w:cstheme="minorBidi"/>
          <w:szCs w:val="22"/>
        </w:rPr>
      </w:pPr>
      <w:r>
        <w:fldChar w:fldCharType="begin"/>
      </w:r>
      <w:r>
        <w:instrText xml:space="preserve"> HYPERLINK \l "_Toc194937549" </w:instrText>
      </w:r>
      <w:r>
        <w:fldChar w:fldCharType="separate"/>
      </w:r>
      <w:r>
        <w:rPr>
          <w:rStyle w:val="33"/>
        </w:rPr>
        <w:t>5.6  烧制</w:t>
      </w:r>
      <w:r>
        <w:tab/>
      </w:r>
      <w:r>
        <w:fldChar w:fldCharType="begin"/>
      </w:r>
      <w:r>
        <w:instrText xml:space="preserve"> PAGEREF _Toc194937549 \h </w:instrText>
      </w:r>
      <w:r>
        <w:fldChar w:fldCharType="separate"/>
      </w:r>
      <w:r>
        <w:t>4</w:t>
      </w:r>
      <w:r>
        <w:fldChar w:fldCharType="end"/>
      </w:r>
      <w:r>
        <w:fldChar w:fldCharType="end"/>
      </w:r>
    </w:p>
    <w:p w14:paraId="51448C30">
      <w:pPr>
        <w:pStyle w:val="24"/>
        <w:rPr>
          <w:rStyle w:val="33"/>
        </w:rPr>
      </w:pPr>
      <w:r>
        <w:fldChar w:fldCharType="begin"/>
      </w:r>
      <w:r>
        <w:instrText xml:space="preserve"> HYPERLINK \l "_Toc194937550" </w:instrText>
      </w:r>
      <w:r>
        <w:fldChar w:fldCharType="separate"/>
      </w:r>
      <w:r>
        <w:rPr>
          <w:rStyle w:val="33"/>
        </w:rPr>
        <w:t>5.7  出窑</w:t>
      </w:r>
      <w:r>
        <w:tab/>
      </w:r>
      <w:r>
        <w:fldChar w:fldCharType="begin"/>
      </w:r>
      <w:r>
        <w:instrText xml:space="preserve"> PAGEREF _Toc194937550 \h </w:instrText>
      </w:r>
      <w:r>
        <w:fldChar w:fldCharType="separate"/>
      </w:r>
      <w:r>
        <w:t>5</w:t>
      </w:r>
      <w:r>
        <w:fldChar w:fldCharType="end"/>
      </w:r>
      <w:r>
        <w:fldChar w:fldCharType="end"/>
      </w:r>
    </w:p>
    <w:p w14:paraId="624F3D60">
      <w:pPr>
        <w:pStyle w:val="19"/>
        <w:tabs>
          <w:tab w:val="right" w:leader="dot" w:pos="9344"/>
        </w:tabs>
        <w:rPr>
          <w:rFonts w:asciiTheme="minorHAnsi" w:hAnsiTheme="minorHAnsi" w:eastAsiaTheme="minorEastAsia" w:cstheme="minorBidi"/>
          <w:szCs w:val="22"/>
        </w:rPr>
      </w:pPr>
      <w:bookmarkStart w:id="12" w:name="OLE_LINK14"/>
      <w:r>
        <w:rPr>
          <w:rStyle w:val="33"/>
        </w:rPr>
        <w:fldChar w:fldCharType="begin"/>
      </w:r>
      <w:r>
        <w:rPr>
          <w:rStyle w:val="33"/>
        </w:rPr>
        <w:instrText xml:space="preserve"> </w:instrText>
      </w:r>
      <w:r>
        <w:instrText xml:space="preserve">HYPERLINK \l "_Toc194937542"</w:instrText>
      </w:r>
      <w:r>
        <w:rPr>
          <w:rStyle w:val="33"/>
        </w:rPr>
        <w:instrText xml:space="preserve"> </w:instrText>
      </w:r>
      <w:r>
        <w:rPr>
          <w:rStyle w:val="33"/>
        </w:rPr>
        <w:fldChar w:fldCharType="separate"/>
      </w:r>
      <w:r>
        <w:rPr>
          <w:rStyle w:val="33"/>
        </w:rPr>
        <w:t xml:space="preserve">6  </w:t>
      </w:r>
      <w:r>
        <w:rPr>
          <w:rStyle w:val="33"/>
          <w:rFonts w:hint="eastAsia"/>
        </w:rPr>
        <w:t>安全与环保</w:t>
      </w:r>
      <w:r>
        <w:tab/>
      </w:r>
      <w:r>
        <w:t>5</w:t>
      </w:r>
      <w:r>
        <w:rPr>
          <w:rStyle w:val="33"/>
        </w:rPr>
        <w:fldChar w:fldCharType="end"/>
      </w:r>
    </w:p>
    <w:bookmarkEnd w:id="12"/>
    <w:p w14:paraId="14F26C63">
      <w:pPr>
        <w:pStyle w:val="24"/>
        <w:rPr>
          <w:rFonts w:asciiTheme="minorHAnsi" w:hAnsiTheme="minorHAnsi" w:eastAsiaTheme="minorEastAsia" w:cstheme="minorBidi"/>
          <w:szCs w:val="22"/>
        </w:rPr>
      </w:pPr>
      <w:r>
        <w:rPr>
          <w:rStyle w:val="33"/>
        </w:rPr>
        <w:fldChar w:fldCharType="begin"/>
      </w:r>
      <w:r>
        <w:rPr>
          <w:rStyle w:val="33"/>
        </w:rPr>
        <w:instrText xml:space="preserve"> </w:instrText>
      </w:r>
      <w:r>
        <w:instrText xml:space="preserve">HYPERLINK \l "_Toc194937543"</w:instrText>
      </w:r>
      <w:r>
        <w:rPr>
          <w:rStyle w:val="33"/>
        </w:rPr>
        <w:instrText xml:space="preserve"> </w:instrText>
      </w:r>
      <w:r>
        <w:rPr>
          <w:rStyle w:val="33"/>
        </w:rPr>
        <w:fldChar w:fldCharType="separate"/>
      </w:r>
      <w:r>
        <w:rPr>
          <w:rStyle w:val="33"/>
          <w14:scene3d>
            <w14:lightRig w14:rig="threePt" w14:dir="t">
              <w14:rot w14:lat="0" w14:lon="0" w14:rev="0"/>
            </w14:lightRig>
          </w14:scene3d>
        </w:rPr>
        <w:t xml:space="preserve">6.1 </w:t>
      </w:r>
      <w:r>
        <w:rPr>
          <w:rStyle w:val="33"/>
        </w:rPr>
        <w:t xml:space="preserve"> </w:t>
      </w:r>
      <w:r>
        <w:rPr>
          <w:rStyle w:val="33"/>
          <w:rFonts w:hint="eastAsia"/>
        </w:rPr>
        <w:t>安全环保措施</w:t>
      </w:r>
      <w:r>
        <w:tab/>
      </w:r>
      <w:r>
        <w:t>5</w:t>
      </w:r>
      <w:r>
        <w:rPr>
          <w:rStyle w:val="33"/>
        </w:rPr>
        <w:fldChar w:fldCharType="end"/>
      </w:r>
    </w:p>
    <w:p w14:paraId="3334C3A5">
      <w:pPr>
        <w:pStyle w:val="24"/>
        <w:rPr>
          <w:rFonts w:asciiTheme="minorHAnsi" w:hAnsiTheme="minorHAnsi" w:eastAsiaTheme="minorEastAsia" w:cstheme="minorBidi"/>
          <w:szCs w:val="22"/>
        </w:rPr>
      </w:pPr>
      <w:r>
        <w:fldChar w:fldCharType="begin"/>
      </w:r>
      <w:r>
        <w:instrText xml:space="preserve"> HYPERLINK \l "_Toc194937544" </w:instrText>
      </w:r>
      <w:r>
        <w:fldChar w:fldCharType="separate"/>
      </w:r>
      <w:r>
        <w:rPr>
          <w:rStyle w:val="33"/>
          <w14:scene3d>
            <w14:lightRig w14:rig="threePt" w14:dir="t">
              <w14:rot w14:lat="0" w14:lon="0" w14:rev="0"/>
            </w14:lightRig>
          </w14:scene3d>
        </w:rPr>
        <w:t xml:space="preserve">6.2 </w:t>
      </w:r>
      <w:r>
        <w:rPr>
          <w:rStyle w:val="33"/>
        </w:rPr>
        <w:t xml:space="preserve"> </w:t>
      </w:r>
      <w:r>
        <w:rPr>
          <w:rStyle w:val="33"/>
          <w:rFonts w:hint="eastAsia"/>
        </w:rPr>
        <w:t>卫生健康环保</w:t>
      </w:r>
      <w:r>
        <w:tab/>
      </w:r>
      <w:r>
        <w:t>6</w:t>
      </w:r>
      <w:r>
        <w:fldChar w:fldCharType="end"/>
      </w:r>
    </w:p>
    <w:p w14:paraId="0BC60ABA">
      <w:pPr>
        <w:pStyle w:val="19"/>
        <w:tabs>
          <w:tab w:val="right" w:leader="dot" w:pos="9344"/>
        </w:tabs>
        <w:rPr>
          <w:rFonts w:asciiTheme="minorHAnsi" w:hAnsiTheme="minorHAnsi" w:eastAsiaTheme="minorEastAsia" w:cstheme="minorBidi"/>
          <w:szCs w:val="22"/>
        </w:rPr>
      </w:pPr>
      <w:r>
        <w:fldChar w:fldCharType="begin"/>
      </w:r>
      <w:r>
        <w:instrText xml:space="preserve"> HYPERLINK \l "_Toc194937542" </w:instrText>
      </w:r>
      <w:r>
        <w:fldChar w:fldCharType="separate"/>
      </w:r>
      <w:r>
        <w:rPr>
          <w:rStyle w:val="33"/>
        </w:rPr>
        <w:t xml:space="preserve">7  </w:t>
      </w:r>
      <w:r>
        <w:rPr>
          <w:rStyle w:val="33"/>
          <w:rFonts w:hint="eastAsia"/>
        </w:rPr>
        <w:t>追溯记录</w:t>
      </w:r>
      <w:r>
        <w:tab/>
      </w:r>
      <w:r>
        <w:t>6</w:t>
      </w:r>
      <w:r>
        <w:fldChar w:fldCharType="end"/>
      </w:r>
    </w:p>
    <w:p w14:paraId="667ACD8E">
      <w:r>
        <w:fldChar w:fldCharType="begin"/>
      </w:r>
      <w:r>
        <w:instrText xml:space="preserve"> HYPERLINK "file:///E:\\河北省地方标准扫描件上报版\\2024年上报地方标准\\2024年上报地方标准\\定瓷\\标准文本04.03\\6非物质文化遗产定瓷工艺规程%20第6部分：%20刻划装饰.docx" \l "_Toc194930234" </w:instrText>
      </w:r>
      <w:r>
        <w:fldChar w:fldCharType="separate"/>
      </w:r>
      <w:r>
        <w:rPr>
          <w:rStyle w:val="232"/>
          <w:rFonts w:hint="default" w:hAnsi="宋体"/>
          <w:color w:val="0000FF"/>
          <w:u w:val="single"/>
        </w:rPr>
        <w:t>附录</w:t>
      </w:r>
      <w:r>
        <w:rPr>
          <w:rStyle w:val="232"/>
          <w:rFonts w:hint="default"/>
          <w:color w:val="0000FF"/>
          <w:u w:val="single"/>
        </w:rPr>
        <w:t>A（资料性）  定瓷</w:t>
      </w:r>
      <w:r>
        <w:rPr>
          <w:rStyle w:val="232"/>
          <w:rFonts w:hAnsi="宋体"/>
          <w:color w:val="0000FF"/>
          <w:u w:val="single"/>
        </w:rPr>
        <w:t>施釉烧成</w:t>
      </w:r>
      <w:r>
        <w:rPr>
          <w:rStyle w:val="232"/>
          <w:rFonts w:hint="default" w:hAnsi="宋体"/>
          <w:color w:val="0000FF"/>
          <w:u w:val="single"/>
        </w:rPr>
        <w:t>工艺记录表</w:t>
      </w:r>
      <w:r>
        <w:rPr>
          <w:rStyle w:val="233"/>
          <w:rFonts w:hint="default"/>
          <w:color w:val="0000FF"/>
          <w:u w:val="single"/>
        </w:rPr>
        <w:tab/>
      </w:r>
      <w:r>
        <w:rPr>
          <w:rStyle w:val="233"/>
          <w:rFonts w:hint="default" w:hAnsi="宋体"/>
          <w:color w:val="0000FF"/>
          <w:u w:val="single"/>
        </w:rPr>
        <w:t>................................................</w:t>
      </w:r>
      <w:r>
        <w:rPr>
          <w:rStyle w:val="33"/>
        </w:rPr>
        <w:t>7</w:t>
      </w:r>
      <w:r>
        <w:rPr>
          <w:rStyle w:val="33"/>
        </w:rPr>
        <w:fldChar w:fldCharType="end"/>
      </w:r>
    </w:p>
    <w:p w14:paraId="741BAB14">
      <w:pPr>
        <w:rPr>
          <w:rFonts w:hint="eastAsia"/>
        </w:rPr>
      </w:pPr>
    </w:p>
    <w:p w14:paraId="7740D44F">
      <w:pPr>
        <w:pStyle w:val="92"/>
        <w:spacing w:after="468"/>
        <w:sectPr>
          <w:headerReference r:id="rId11" w:type="default"/>
          <w:footerReference r:id="rId13" w:type="default"/>
          <w:headerReference r:id="rId12" w:type="even"/>
          <w:pgSz w:w="11906" w:h="16838"/>
          <w:pgMar w:top="1928" w:right="1134" w:bottom="1134" w:left="1134" w:header="1418" w:footer="1134" w:gutter="284"/>
          <w:pgNumType w:fmt="upperRoman" w:start="1"/>
          <w:cols w:space="425" w:num="1"/>
          <w:formProt w:val="0"/>
          <w:docGrid w:type="lines" w:linePitch="312" w:charSpace="0"/>
        </w:sectPr>
      </w:pPr>
      <w:r>
        <w:fldChar w:fldCharType="end"/>
      </w:r>
    </w:p>
    <w:bookmarkEnd w:id="11"/>
    <w:p w14:paraId="1113461A">
      <w:pPr>
        <w:pStyle w:val="92"/>
        <w:spacing w:after="468"/>
        <w:rPr>
          <w:spacing w:val="320"/>
        </w:rPr>
      </w:pPr>
      <w:bookmarkStart w:id="13" w:name="BookMark2"/>
      <w:r>
        <w:rPr>
          <w:rFonts w:hint="eastAsia"/>
          <w:spacing w:val="320"/>
        </w:rPr>
        <w:t>前言</w:t>
      </w:r>
    </w:p>
    <w:p w14:paraId="2B750486">
      <w:pPr>
        <w:pStyle w:val="57"/>
      </w:pPr>
      <w:r>
        <w:rPr>
          <w:rFonts w:hint="eastAsia"/>
        </w:rPr>
        <w:t>本文件按照GB/T 1.1—2020《标准化工作导则第1部分：标准化文件的结构和起草规则》的规定起草。</w:t>
      </w:r>
    </w:p>
    <w:p w14:paraId="433B618B">
      <w:pPr>
        <w:pStyle w:val="57"/>
        <w:ind w:firstLine="400"/>
        <w:rPr>
          <w:rFonts w:ascii="MingLiU" w:hAnsi="MingLiU" w:eastAsia="MingLiU" w:cs="MingLiU"/>
          <w:color w:val="000000"/>
          <w:sz w:val="20"/>
        </w:rPr>
      </w:pPr>
      <w:bookmarkStart w:id="14" w:name="OLE_LINK35"/>
      <w:r>
        <w:rPr>
          <w:rFonts w:ascii="MingLiU" w:hAnsi="MingLiU" w:eastAsia="MingLiU" w:cs="MingLiU"/>
          <w:color w:val="000000"/>
          <w:sz w:val="20"/>
        </w:rPr>
        <w:t>本文件是</w:t>
      </w:r>
      <w:bookmarkStart w:id="15" w:name="OLE_LINK24"/>
      <w:bookmarkStart w:id="16" w:name="OLE_LINK26"/>
      <w:r>
        <w:rPr>
          <w:rFonts w:hint="eastAsia" w:ascii="MingLiU" w:hAnsi="MingLiU" w:cs="MingLiU"/>
          <w:color w:val="000000"/>
          <w:sz w:val="20"/>
        </w:rPr>
        <w:t>DB13/T XXXX</w:t>
      </w:r>
      <w:bookmarkEnd w:id="15"/>
      <w:r>
        <w:rPr>
          <w:rFonts w:ascii="MingLiU" w:hAnsi="MingLiU" w:eastAsia="MingLiU" w:cs="MingLiU"/>
          <w:color w:val="000000"/>
          <w:sz w:val="20"/>
        </w:rPr>
        <w:t>《</w:t>
      </w:r>
      <w:r>
        <w:rPr>
          <w:rFonts w:hint="eastAsia"/>
        </w:rPr>
        <w:t>非物质文化遗产 定瓷 工艺规程</w:t>
      </w:r>
      <w:r>
        <w:rPr>
          <w:rFonts w:ascii="MingLiU" w:hAnsi="MingLiU" w:eastAsia="MingLiU" w:cs="MingLiU"/>
          <w:color w:val="000000"/>
          <w:sz w:val="20"/>
        </w:rPr>
        <w:t>》</w:t>
      </w:r>
      <w:bookmarkEnd w:id="16"/>
      <w:r>
        <w:rPr>
          <w:rFonts w:ascii="MingLiU" w:hAnsi="MingLiU" w:eastAsia="MingLiU" w:cs="MingLiU"/>
          <w:color w:val="000000"/>
          <w:sz w:val="20"/>
        </w:rPr>
        <w:t>的 第</w:t>
      </w:r>
      <w:r>
        <w:rPr>
          <w:rFonts w:hint="eastAsia" w:ascii="MingLiU" w:hAnsi="MingLiU" w:cs="MingLiU"/>
          <w:color w:val="000000"/>
          <w:sz w:val="20"/>
        </w:rPr>
        <w:t xml:space="preserve"> 7 </w:t>
      </w:r>
      <w:r>
        <w:rPr>
          <w:rFonts w:ascii="MingLiU" w:hAnsi="MingLiU" w:eastAsia="MingLiU" w:cs="MingLiU"/>
          <w:color w:val="000000"/>
          <w:sz w:val="20"/>
        </w:rPr>
        <w:t>部分。</w:t>
      </w:r>
      <w:bookmarkStart w:id="17" w:name="OLE_LINK27"/>
      <w:r>
        <w:rPr>
          <w:rFonts w:hint="eastAsia" w:ascii="MingLiU" w:hAnsi="MingLiU" w:cs="MingLiU"/>
          <w:color w:val="000000"/>
          <w:sz w:val="20"/>
        </w:rPr>
        <w:t>DB13/T XXXX分为以下7个</w:t>
      </w:r>
      <w:r>
        <w:rPr>
          <w:rFonts w:ascii="MingLiU" w:hAnsi="MingLiU" w:eastAsia="MingLiU" w:cs="MingLiU"/>
          <w:color w:val="000000"/>
          <w:sz w:val="20"/>
        </w:rPr>
        <w:t>部分：</w:t>
      </w:r>
    </w:p>
    <w:p w14:paraId="5819FBAB">
      <w:pPr>
        <w:pStyle w:val="57"/>
        <w:ind w:firstLine="400"/>
      </w:pPr>
      <w:r>
        <w:rPr>
          <w:rFonts w:ascii="MingLiU" w:hAnsi="MingLiU" w:eastAsia="MingLiU" w:cs="MingLiU"/>
          <w:color w:val="000000"/>
          <w:sz w:val="20"/>
        </w:rPr>
        <w:t xml:space="preserve"> </w:t>
      </w:r>
      <w:bookmarkStart w:id="18" w:name="OLE_LINK25"/>
      <w:r>
        <w:rPr>
          <w:rFonts w:hint="eastAsia"/>
        </w:rPr>
        <w:t>——</w:t>
      </w:r>
      <w:r>
        <w:t xml:space="preserve"> 第 1 部分:</w:t>
      </w:r>
      <w:r>
        <w:rPr>
          <w:rFonts w:hint="eastAsia"/>
        </w:rPr>
        <w:t>瓷料制备</w:t>
      </w:r>
      <w:r>
        <w:t>；</w:t>
      </w:r>
      <w:bookmarkEnd w:id="18"/>
    </w:p>
    <w:p w14:paraId="77D8B7B8">
      <w:pPr>
        <w:pStyle w:val="57"/>
      </w:pPr>
      <w:r>
        <w:t xml:space="preserve"> </w:t>
      </w:r>
      <w:r>
        <w:rPr>
          <w:rFonts w:hint="eastAsia"/>
        </w:rPr>
        <w:t>——</w:t>
      </w:r>
      <w:r>
        <w:t xml:space="preserve"> 第 </w:t>
      </w:r>
      <w:r>
        <w:rPr>
          <w:rFonts w:hint="eastAsia"/>
        </w:rPr>
        <w:t>2</w:t>
      </w:r>
      <w:r>
        <w:t xml:space="preserve"> 部分:</w:t>
      </w:r>
      <w:r>
        <w:rPr>
          <w:rFonts w:hint="eastAsia"/>
        </w:rPr>
        <w:t>釉料制备</w:t>
      </w:r>
      <w:r>
        <w:t>；</w:t>
      </w:r>
    </w:p>
    <w:p w14:paraId="500CFD90">
      <w:pPr>
        <w:pStyle w:val="57"/>
        <w:ind w:firstLine="400"/>
      </w:pPr>
      <w:r>
        <w:rPr>
          <w:rFonts w:ascii="MingLiU" w:hAnsi="MingLiU" w:eastAsia="MingLiU" w:cs="MingLiU"/>
          <w:color w:val="000000"/>
          <w:sz w:val="20"/>
        </w:rPr>
        <w:t xml:space="preserve"> </w:t>
      </w:r>
      <w:r>
        <w:rPr>
          <w:rFonts w:hint="eastAsia"/>
        </w:rPr>
        <w:t>——</w:t>
      </w:r>
      <w:r>
        <w:t xml:space="preserve"> 第 </w:t>
      </w:r>
      <w:r>
        <w:rPr>
          <w:rFonts w:hint="eastAsia"/>
        </w:rPr>
        <w:t xml:space="preserve">3 </w:t>
      </w:r>
      <w:r>
        <w:t>部分:</w:t>
      </w:r>
      <w:r>
        <w:rPr>
          <w:rFonts w:hint="eastAsia"/>
        </w:rPr>
        <w:t>拉坯成型</w:t>
      </w:r>
      <w:r>
        <w:t>；</w:t>
      </w:r>
    </w:p>
    <w:p w14:paraId="1D68508F">
      <w:pPr>
        <w:pStyle w:val="57"/>
      </w:pPr>
      <w:r>
        <w:t xml:space="preserve"> </w:t>
      </w:r>
      <w:r>
        <w:rPr>
          <w:rFonts w:hint="eastAsia"/>
        </w:rPr>
        <w:t>——</w:t>
      </w:r>
      <w:r>
        <w:t xml:space="preserve"> 第 </w:t>
      </w:r>
      <w:r>
        <w:rPr>
          <w:rFonts w:hint="eastAsia"/>
        </w:rPr>
        <w:t>4</w:t>
      </w:r>
      <w:r>
        <w:t xml:space="preserve"> 部分:</w:t>
      </w:r>
      <w:r>
        <w:rPr>
          <w:rFonts w:hint="eastAsia"/>
        </w:rPr>
        <w:t>压坯成型</w:t>
      </w:r>
      <w:r>
        <w:t>；</w:t>
      </w:r>
    </w:p>
    <w:p w14:paraId="45E75038">
      <w:pPr>
        <w:pStyle w:val="57"/>
        <w:ind w:firstLine="400"/>
      </w:pPr>
      <w:r>
        <w:rPr>
          <w:rFonts w:ascii="MingLiU" w:hAnsi="MingLiU" w:eastAsia="MingLiU" w:cs="MingLiU"/>
          <w:color w:val="000000"/>
          <w:sz w:val="20"/>
        </w:rPr>
        <w:t xml:space="preserve"> </w:t>
      </w:r>
      <w:r>
        <w:rPr>
          <w:rFonts w:hint="eastAsia"/>
        </w:rPr>
        <w:t>——</w:t>
      </w:r>
      <w:r>
        <w:t xml:space="preserve"> 第 </w:t>
      </w:r>
      <w:r>
        <w:rPr>
          <w:rFonts w:hint="eastAsia"/>
        </w:rPr>
        <w:t>5</w:t>
      </w:r>
      <w:r>
        <w:t xml:space="preserve"> 部分:</w:t>
      </w:r>
      <w:r>
        <w:rPr>
          <w:rFonts w:hint="eastAsia"/>
        </w:rPr>
        <w:t>注浆成型</w:t>
      </w:r>
      <w:r>
        <w:t>；</w:t>
      </w:r>
    </w:p>
    <w:p w14:paraId="55FD5F1E">
      <w:pPr>
        <w:pStyle w:val="57"/>
      </w:pPr>
      <w:r>
        <w:t xml:space="preserve"> </w:t>
      </w:r>
      <w:r>
        <w:rPr>
          <w:rFonts w:hint="eastAsia"/>
        </w:rPr>
        <w:t xml:space="preserve">—— </w:t>
      </w:r>
      <w:r>
        <w:t xml:space="preserve">第 </w:t>
      </w:r>
      <w:r>
        <w:rPr>
          <w:rFonts w:hint="eastAsia"/>
        </w:rPr>
        <w:t>6</w:t>
      </w:r>
      <w:r>
        <w:t xml:space="preserve"> 部分:</w:t>
      </w:r>
      <w:r>
        <w:rPr>
          <w:rFonts w:hint="eastAsia"/>
        </w:rPr>
        <w:t>刻划装饰</w:t>
      </w:r>
      <w:r>
        <w:t>；</w:t>
      </w:r>
    </w:p>
    <w:p w14:paraId="7436D584">
      <w:pPr>
        <w:pStyle w:val="57"/>
        <w:ind w:firstLine="400"/>
      </w:pPr>
      <w:r>
        <w:rPr>
          <w:rFonts w:ascii="MingLiU" w:hAnsi="MingLiU" w:eastAsia="MingLiU" w:cs="MingLiU"/>
          <w:color w:val="000000"/>
          <w:sz w:val="20"/>
        </w:rPr>
        <w:t xml:space="preserve"> </w:t>
      </w:r>
      <w:r>
        <w:rPr>
          <w:rFonts w:hint="eastAsia"/>
        </w:rPr>
        <w:t>——</w:t>
      </w:r>
      <w:r>
        <w:t xml:space="preserve"> 第 </w:t>
      </w:r>
      <w:r>
        <w:rPr>
          <w:rFonts w:hint="eastAsia"/>
        </w:rPr>
        <w:t>7</w:t>
      </w:r>
      <w:r>
        <w:t xml:space="preserve"> 部分:</w:t>
      </w:r>
      <w:r>
        <w:rPr>
          <w:rFonts w:hint="eastAsia"/>
          <w:lang w:eastAsia="zh-CN"/>
        </w:rPr>
        <w:t>施釉</w:t>
      </w:r>
      <w:bookmarkStart w:id="121" w:name="_GoBack"/>
      <w:bookmarkEnd w:id="121"/>
      <w:r>
        <w:rPr>
          <w:rFonts w:hint="eastAsia"/>
        </w:rPr>
        <w:t>烧成。</w:t>
      </w:r>
    </w:p>
    <w:bookmarkEnd w:id="17"/>
    <w:p w14:paraId="76AA1E10">
      <w:pPr>
        <w:pStyle w:val="57"/>
        <w:ind w:firstLine="400"/>
      </w:pPr>
      <w:r>
        <w:rPr>
          <w:rFonts w:ascii="MingLiU" w:hAnsi="MingLiU" w:eastAsia="MingLiU" w:cs="MingLiU"/>
          <w:color w:val="000000"/>
          <w:sz w:val="20"/>
        </w:rPr>
        <w:t>请注意本文件的某些内容可能涉及专利。本文件的发布机构不承担识别专利的责任。</w:t>
      </w:r>
    </w:p>
    <w:bookmarkEnd w:id="14"/>
    <w:p w14:paraId="7750486A">
      <w:pPr>
        <w:pStyle w:val="57"/>
      </w:pPr>
      <w:r>
        <w:rPr>
          <w:rFonts w:hint="eastAsia"/>
        </w:rPr>
        <w:t>本文件由保定市市场监督管理局提出并归口。</w:t>
      </w:r>
    </w:p>
    <w:p w14:paraId="5DF70D68">
      <w:pPr>
        <w:pStyle w:val="57"/>
      </w:pPr>
      <w:r>
        <w:rPr>
          <w:rFonts w:hint="eastAsia"/>
        </w:rPr>
        <w:t>本文件起草单位：河北省曲阳陈氏定窑瓷业有限公司、保定市标准化所、曲阳永克定瓷坊有限公司、李氏定窑弘定坊有限公司、宋韵定瓷坊。</w:t>
      </w:r>
    </w:p>
    <w:p w14:paraId="69CA3535">
      <w:pPr>
        <w:pStyle w:val="57"/>
      </w:pPr>
      <w:r>
        <w:rPr>
          <w:rFonts w:hint="eastAsia"/>
        </w:rPr>
        <w:t>本文件主要起草人：董焕新、韩庆芳、和焕、王淑昌、庞永辉、唐金金、庞永克、李文献、韩会杰。</w:t>
      </w:r>
    </w:p>
    <w:p w14:paraId="69D1E075">
      <w:pPr>
        <w:pStyle w:val="57"/>
        <w:sectPr>
          <w:pgSz w:w="11906" w:h="16838"/>
          <w:pgMar w:top="1928" w:right="1134" w:bottom="1134" w:left="1134" w:header="1418" w:footer="1134" w:gutter="284"/>
          <w:pgNumType w:fmt="upperRoman"/>
          <w:cols w:space="425" w:num="1"/>
          <w:formProt w:val="0"/>
          <w:docGrid w:type="lines" w:linePitch="312" w:charSpace="0"/>
        </w:sectPr>
      </w:pPr>
    </w:p>
    <w:bookmarkEnd w:id="13"/>
    <w:p w14:paraId="6D625258">
      <w:pPr>
        <w:pStyle w:val="90"/>
        <w:spacing w:after="468"/>
      </w:pPr>
      <w:bookmarkStart w:id="19" w:name="_Toc194937537"/>
      <w:bookmarkStart w:id="20" w:name="_Toc191848058"/>
      <w:bookmarkStart w:id="21" w:name="BookMark3"/>
      <w:r>
        <w:rPr>
          <w:spacing w:val="320"/>
        </w:rPr>
        <w:t>引</w:t>
      </w:r>
      <w:r>
        <w:t>言</w:t>
      </w:r>
      <w:bookmarkEnd w:id="19"/>
      <w:bookmarkEnd w:id="20"/>
    </w:p>
    <w:p w14:paraId="6FFDE0C5">
      <w:pPr>
        <w:pStyle w:val="25"/>
        <w:widowControl/>
        <w:autoSpaceDE w:val="0"/>
        <w:autoSpaceDN w:val="0"/>
        <w:adjustRightInd/>
        <w:spacing w:line="240" w:lineRule="auto"/>
        <w:ind w:firstLine="420" w:firstLineChars="200"/>
      </w:pPr>
      <w:r>
        <w:rPr>
          <w:rFonts w:hint="eastAsia" w:ascii="宋体" w:hAnsi="Times New Roman"/>
          <w:kern w:val="0"/>
          <w:sz w:val="21"/>
          <w:szCs w:val="20"/>
          <w:lang w:bidi="ar"/>
        </w:rPr>
        <w:t>定瓷作为中国非物质文化遗产的重要组成部分，承载了千年的文化积淀和精湛的手工艺传统。其历史可以追溯至隋代，兴盛于宋金时期，以河北曲阳地区为核心产地。在这一悠久的历史中，定瓷以其独特的质地、精美的造型和温润如玉的釉色闻名于世，被誉为“薄如纸、白如玉、声如磬”。本标准严格依据《国家级非物质文化遗产保护条例》及《定窑文化保护传承利用条例》编制，旨在规范非遗定瓷工艺中瓷料制备的具体操作流程，确保传统技艺的完整传承与现代生产需求的结合。</w:t>
      </w:r>
    </w:p>
    <w:p w14:paraId="79A4C77F">
      <w:pPr>
        <w:pStyle w:val="25"/>
        <w:widowControl/>
        <w:autoSpaceDE w:val="0"/>
        <w:autoSpaceDN w:val="0"/>
        <w:adjustRightInd/>
        <w:spacing w:line="240" w:lineRule="auto"/>
        <w:ind w:firstLine="420" w:firstLineChars="200"/>
      </w:pPr>
      <w:r>
        <w:rPr>
          <w:rFonts w:hint="eastAsia" w:ascii="宋体" w:hAnsi="Times New Roman"/>
          <w:kern w:val="0"/>
          <w:sz w:val="21"/>
          <w:szCs w:val="20"/>
          <w:lang w:bidi="ar"/>
        </w:rPr>
        <w:t>DB13/T XXXX《非物质文化遗产 定瓷 工艺规程》 旨在保护和传承定瓷这一珍贵的非物质文化遗产，通过标准化的工艺规程，让定瓷制作有章可循，促进定瓷技艺的传承与创新，推动定瓷产业高质量发展， 让曲阳定瓷这一文化瑰宝在新时代焕发出更加绚烂的光彩。</w:t>
      </w:r>
    </w:p>
    <w:p w14:paraId="41863C90">
      <w:pPr>
        <w:pStyle w:val="25"/>
        <w:widowControl/>
        <w:autoSpaceDE w:val="0"/>
        <w:autoSpaceDN w:val="0"/>
        <w:adjustRightInd/>
        <w:spacing w:line="240" w:lineRule="auto"/>
        <w:ind w:firstLine="420" w:firstLineChars="200"/>
      </w:pPr>
      <w:r>
        <w:rPr>
          <w:rFonts w:hint="eastAsia" w:ascii="宋体" w:hAnsi="Times New Roman"/>
          <w:kern w:val="0"/>
          <w:sz w:val="21"/>
          <w:szCs w:val="20"/>
          <w:lang w:bidi="ar"/>
        </w:rPr>
        <w:t>该系列标准拟由以下7部分组成。</w:t>
      </w:r>
    </w:p>
    <w:p w14:paraId="55CE29AB">
      <w:pPr>
        <w:pStyle w:val="25"/>
        <w:widowControl/>
        <w:autoSpaceDE w:val="0"/>
        <w:autoSpaceDN w:val="0"/>
        <w:adjustRightInd/>
        <w:spacing w:line="240" w:lineRule="auto"/>
        <w:ind w:firstLine="420" w:firstLineChars="200"/>
      </w:pPr>
      <w:r>
        <w:rPr>
          <w:rFonts w:hint="eastAsia" w:ascii="宋体" w:hAnsi="Times New Roman"/>
          <w:kern w:val="0"/>
          <w:sz w:val="21"/>
          <w:szCs w:val="20"/>
          <w:lang w:bidi="ar"/>
        </w:rPr>
        <w:t>—— 第 1 部分:瓷料制备  旨在规范定瓷瓷料制备中各工序的工艺管理；</w:t>
      </w:r>
    </w:p>
    <w:p w14:paraId="6121584A">
      <w:pPr>
        <w:pStyle w:val="25"/>
        <w:widowControl/>
        <w:autoSpaceDE w:val="0"/>
        <w:autoSpaceDN w:val="0"/>
        <w:adjustRightInd/>
        <w:spacing w:line="240" w:lineRule="auto"/>
        <w:ind w:firstLine="420" w:firstLineChars="200"/>
      </w:pPr>
      <w:r>
        <w:rPr>
          <w:rFonts w:hint="eastAsia" w:ascii="宋体" w:hAnsi="Times New Roman"/>
          <w:kern w:val="0"/>
          <w:sz w:val="21"/>
          <w:szCs w:val="20"/>
          <w:lang w:bidi="ar"/>
        </w:rPr>
        <w:t>—— 第 2 部分:釉料制备  旨在规范定瓷釉料制备中各工序的工艺管理；</w:t>
      </w:r>
    </w:p>
    <w:p w14:paraId="5745008C">
      <w:pPr>
        <w:pStyle w:val="25"/>
        <w:widowControl/>
        <w:autoSpaceDE w:val="0"/>
        <w:autoSpaceDN w:val="0"/>
        <w:adjustRightInd/>
        <w:spacing w:line="240" w:lineRule="auto"/>
        <w:ind w:firstLine="420" w:firstLineChars="200"/>
      </w:pPr>
      <w:r>
        <w:rPr>
          <w:rFonts w:hint="eastAsia" w:ascii="宋体" w:hAnsi="Times New Roman"/>
          <w:kern w:val="0"/>
          <w:sz w:val="21"/>
          <w:szCs w:val="20"/>
          <w:lang w:bidi="ar"/>
        </w:rPr>
        <w:t>—— 第 3 部分:拉坯成型  旨在规范定瓷拉坯成型中各工序的工艺管理；</w:t>
      </w:r>
    </w:p>
    <w:p w14:paraId="0D32E9C2">
      <w:pPr>
        <w:pStyle w:val="25"/>
        <w:widowControl/>
        <w:autoSpaceDE w:val="0"/>
        <w:autoSpaceDN w:val="0"/>
        <w:adjustRightInd/>
        <w:spacing w:line="240" w:lineRule="auto"/>
        <w:ind w:firstLine="420" w:firstLineChars="200"/>
      </w:pPr>
      <w:r>
        <w:rPr>
          <w:rFonts w:hint="eastAsia" w:ascii="宋体" w:hAnsi="Times New Roman"/>
          <w:kern w:val="0"/>
          <w:sz w:val="21"/>
          <w:szCs w:val="20"/>
          <w:lang w:bidi="ar"/>
        </w:rPr>
        <w:t>—— 第 4 部分:压坯成型  旨在规范定瓷压坯成型中各工序的工艺管理；</w:t>
      </w:r>
    </w:p>
    <w:p w14:paraId="753E645B">
      <w:pPr>
        <w:pStyle w:val="25"/>
        <w:widowControl/>
        <w:autoSpaceDE w:val="0"/>
        <w:autoSpaceDN w:val="0"/>
        <w:adjustRightInd/>
        <w:spacing w:line="240" w:lineRule="auto"/>
        <w:ind w:firstLine="420" w:firstLineChars="200"/>
      </w:pPr>
      <w:r>
        <w:rPr>
          <w:rFonts w:hint="eastAsia" w:ascii="宋体" w:hAnsi="Times New Roman"/>
          <w:kern w:val="0"/>
          <w:sz w:val="21"/>
          <w:szCs w:val="20"/>
          <w:lang w:bidi="ar"/>
        </w:rPr>
        <w:t>—— 第 5 部分:注浆成型  旨在规范定瓷注浆成型中各工序的工艺管理；</w:t>
      </w:r>
    </w:p>
    <w:p w14:paraId="759CEFB1">
      <w:pPr>
        <w:pStyle w:val="25"/>
        <w:widowControl/>
        <w:autoSpaceDE w:val="0"/>
        <w:autoSpaceDN w:val="0"/>
        <w:adjustRightInd/>
        <w:spacing w:line="240" w:lineRule="auto"/>
        <w:ind w:firstLine="420" w:firstLineChars="200"/>
      </w:pPr>
      <w:r>
        <w:rPr>
          <w:rFonts w:hint="eastAsia" w:ascii="宋体" w:hAnsi="Times New Roman"/>
          <w:kern w:val="0"/>
          <w:sz w:val="21"/>
          <w:szCs w:val="20"/>
          <w:lang w:bidi="ar"/>
        </w:rPr>
        <w:t>—— 第 6 部分:刻划装饰  旨在规范定瓷刻划装饰中各工序的工艺管理；</w:t>
      </w:r>
    </w:p>
    <w:p w14:paraId="20A4443A">
      <w:pPr>
        <w:pStyle w:val="25"/>
        <w:widowControl/>
        <w:autoSpaceDE w:val="0"/>
        <w:autoSpaceDN w:val="0"/>
        <w:adjustRightInd/>
        <w:spacing w:line="240" w:lineRule="auto"/>
        <w:ind w:firstLine="420" w:firstLineChars="200"/>
      </w:pPr>
      <w:r>
        <w:rPr>
          <w:rFonts w:hint="eastAsia" w:ascii="宋体" w:hAnsi="Times New Roman"/>
          <w:kern w:val="0"/>
          <w:sz w:val="21"/>
          <w:szCs w:val="20"/>
          <w:lang w:bidi="ar"/>
        </w:rPr>
        <w:t>—— 第 7 部分:施釉烧成  旨在</w:t>
      </w:r>
      <w:bookmarkStart w:id="22" w:name="OLE_LINK20"/>
      <w:r>
        <w:rPr>
          <w:rFonts w:hint="eastAsia" w:ascii="宋体" w:hAnsi="Times New Roman"/>
          <w:kern w:val="0"/>
          <w:sz w:val="21"/>
          <w:szCs w:val="20"/>
          <w:lang w:bidi="ar"/>
        </w:rPr>
        <w:t>规范定瓷施釉烧成中各工序的工艺管理。</w:t>
      </w:r>
    </w:p>
    <w:p w14:paraId="58DA2056">
      <w:pPr>
        <w:pStyle w:val="25"/>
        <w:widowControl/>
        <w:autoSpaceDE w:val="0"/>
        <w:autoSpaceDN w:val="0"/>
        <w:adjustRightInd/>
        <w:spacing w:line="240" w:lineRule="auto"/>
        <w:ind w:firstLine="420" w:firstLineChars="200"/>
      </w:pPr>
      <w:r>
        <w:rPr>
          <w:rFonts w:hint="eastAsia" w:ascii="宋体" w:hAnsi="Times New Roman"/>
          <w:kern w:val="0"/>
          <w:sz w:val="21"/>
          <w:szCs w:val="20"/>
          <w:lang w:bidi="ar"/>
        </w:rPr>
        <w:t>本文件为第7部分。</w:t>
      </w:r>
    </w:p>
    <w:bookmarkEnd w:id="22"/>
    <w:p w14:paraId="43177715">
      <w:pPr>
        <w:pStyle w:val="25"/>
        <w:widowControl/>
        <w:autoSpaceDE w:val="0"/>
        <w:autoSpaceDN w:val="0"/>
        <w:adjustRightInd/>
        <w:spacing w:line="240" w:lineRule="auto"/>
        <w:ind w:firstLine="480" w:firstLineChars="200"/>
      </w:pPr>
    </w:p>
    <w:p w14:paraId="7640336C">
      <w:pPr>
        <w:pStyle w:val="57"/>
      </w:pPr>
    </w:p>
    <w:p w14:paraId="1801AB6D">
      <w:pPr>
        <w:pStyle w:val="57"/>
      </w:pPr>
    </w:p>
    <w:p w14:paraId="6519B665">
      <w:pPr>
        <w:pStyle w:val="57"/>
        <w:sectPr>
          <w:pgSz w:w="11906" w:h="16838"/>
          <w:pgMar w:top="1928" w:right="1134" w:bottom="1134" w:left="1134" w:header="1418" w:footer="1134" w:gutter="284"/>
          <w:pgNumType w:fmt="upperRoman"/>
          <w:cols w:space="425" w:num="1"/>
          <w:formProt w:val="0"/>
          <w:docGrid w:type="lines" w:linePitch="312" w:charSpace="0"/>
        </w:sectPr>
      </w:pPr>
    </w:p>
    <w:bookmarkEnd w:id="21"/>
    <w:p w14:paraId="6DFEACE2">
      <w:pPr>
        <w:spacing w:line="20" w:lineRule="exact"/>
        <w:jc w:val="center"/>
        <w:rPr>
          <w:rFonts w:ascii="黑体" w:hAnsi="黑体" w:eastAsia="黑体"/>
          <w:sz w:val="32"/>
          <w:szCs w:val="32"/>
        </w:rPr>
      </w:pPr>
      <w:bookmarkStart w:id="23" w:name="BookMark4"/>
    </w:p>
    <w:p w14:paraId="5E3B3DFB">
      <w:pPr>
        <w:spacing w:line="20" w:lineRule="exact"/>
        <w:jc w:val="center"/>
        <w:rPr>
          <w:rFonts w:ascii="黑体" w:hAnsi="黑体" w:eastAsia="黑体"/>
          <w:sz w:val="32"/>
          <w:szCs w:val="32"/>
        </w:rPr>
      </w:pPr>
    </w:p>
    <w:sdt>
      <w:sdtPr>
        <w:tag w:val="NEW_STAND_NAME"/>
        <w:id w:val="595910757"/>
        <w:lock w:val="sdtLocked"/>
        <w:placeholder>
          <w:docPart w:val="BF88FB1340874C7ABCB60BEA863211C3"/>
        </w:placeholder>
      </w:sdtPr>
      <w:sdtContent>
        <w:p w14:paraId="21C5A4F8">
          <w:pPr>
            <w:pStyle w:val="178"/>
            <w:spacing w:before="312" w:beforeLines="100" w:after="686" w:afterLines="220"/>
          </w:pPr>
          <w:bookmarkStart w:id="24" w:name="NEW_STAND_NAME"/>
          <w:r>
            <w:rPr>
              <w:rFonts w:hint="eastAsia"/>
            </w:rPr>
            <w:t>非物质文化遗产 定瓷 工艺规程</w:t>
          </w:r>
          <w:r>
            <w:t xml:space="preserve">  第</w:t>
          </w:r>
          <w:r>
            <w:rPr>
              <w:rFonts w:hint="eastAsia"/>
            </w:rPr>
            <w:t>7</w:t>
          </w:r>
          <w:r>
            <w:t>部分：烧成</w:t>
          </w:r>
        </w:p>
      </w:sdtContent>
    </w:sdt>
    <w:bookmarkEnd w:id="24"/>
    <w:p w14:paraId="36568F51">
      <w:pPr>
        <w:pStyle w:val="105"/>
        <w:spacing w:before="312" w:after="312"/>
      </w:pPr>
      <w:bookmarkStart w:id="25" w:name="_Toc26718930"/>
      <w:bookmarkStart w:id="26" w:name="_Toc194937538"/>
      <w:bookmarkStart w:id="27" w:name="_Toc191848059"/>
      <w:bookmarkStart w:id="28" w:name="_Toc26648465"/>
      <w:bookmarkStart w:id="29" w:name="_Toc24884211"/>
      <w:bookmarkStart w:id="30" w:name="_Toc26986530"/>
      <w:bookmarkStart w:id="31" w:name="_Toc17233333"/>
      <w:bookmarkStart w:id="32" w:name="_Toc26986771"/>
      <w:bookmarkStart w:id="33" w:name="_Toc24884218"/>
      <w:bookmarkStart w:id="34" w:name="_Toc17233325"/>
      <w:bookmarkStart w:id="35" w:name="_Toc164499548"/>
      <w:bookmarkStart w:id="36" w:name="_Toc97191423"/>
      <w:r>
        <w:rPr>
          <w:rFonts w:hint="eastAsia"/>
        </w:rPr>
        <w:t>范围</w:t>
      </w:r>
      <w:bookmarkEnd w:id="25"/>
      <w:bookmarkEnd w:id="26"/>
      <w:bookmarkEnd w:id="27"/>
      <w:bookmarkEnd w:id="28"/>
      <w:bookmarkEnd w:id="29"/>
      <w:bookmarkEnd w:id="30"/>
      <w:bookmarkEnd w:id="31"/>
      <w:bookmarkEnd w:id="32"/>
      <w:bookmarkEnd w:id="33"/>
      <w:bookmarkEnd w:id="34"/>
      <w:bookmarkEnd w:id="35"/>
      <w:bookmarkEnd w:id="36"/>
    </w:p>
    <w:p w14:paraId="31C4EC5F">
      <w:pPr>
        <w:pStyle w:val="57"/>
      </w:pPr>
      <w:bookmarkStart w:id="37" w:name="_Toc26648466"/>
      <w:bookmarkStart w:id="38" w:name="_Toc24884212"/>
      <w:bookmarkStart w:id="39" w:name="_Toc24884219"/>
      <w:bookmarkStart w:id="40" w:name="_Toc17233334"/>
      <w:bookmarkStart w:id="41" w:name="_Toc17233326"/>
      <w:r>
        <w:rPr>
          <w:rFonts w:hint="eastAsia"/>
        </w:rPr>
        <w:t xml:space="preserve">本部分确立了非物质文化遗产 </w:t>
      </w:r>
      <w:r>
        <w:t xml:space="preserve"> </w:t>
      </w:r>
      <w:r>
        <w:rPr>
          <w:rFonts w:hint="eastAsia"/>
        </w:rPr>
        <w:t>定瓷工艺烧成的工艺流程，规定了素烧、打底标、施釉（白釉/色釉）、装窑、烧制、出窑工序的工艺操作及要求、</w:t>
      </w:r>
      <w:r>
        <w:rPr>
          <w:rFonts w:hint="eastAsia" w:ascii="Calibri" w:hAnsi="Calibri"/>
          <w:kern w:val="2"/>
          <w:szCs w:val="21"/>
          <w:lang w:bidi="ar"/>
        </w:rPr>
        <w:t>安全环保要求、追溯记录</w:t>
      </w:r>
      <w:r>
        <w:rPr>
          <w:rFonts w:hint="eastAsia"/>
        </w:rPr>
        <w:t>。</w:t>
      </w:r>
    </w:p>
    <w:p w14:paraId="6AACB919">
      <w:pPr>
        <w:pStyle w:val="57"/>
      </w:pPr>
      <w:r>
        <w:rPr>
          <w:rFonts w:hint="eastAsia"/>
        </w:rPr>
        <w:t xml:space="preserve">本部分适用于非物质文化遗产 </w:t>
      </w:r>
      <w:r>
        <w:t xml:space="preserve"> </w:t>
      </w:r>
      <w:r>
        <w:rPr>
          <w:rFonts w:hint="eastAsia"/>
        </w:rPr>
        <w:t>定瓷工艺施釉烧成工序的工艺管理。</w:t>
      </w:r>
    </w:p>
    <w:p w14:paraId="7F45E3F2">
      <w:pPr>
        <w:pStyle w:val="105"/>
        <w:spacing w:before="312" w:after="312"/>
      </w:pPr>
      <w:bookmarkStart w:id="42" w:name="_Toc26986772"/>
      <w:bookmarkStart w:id="43" w:name="_Toc26718931"/>
      <w:bookmarkStart w:id="44" w:name="_Toc164499549"/>
      <w:bookmarkStart w:id="45" w:name="_Toc26986531"/>
      <w:bookmarkStart w:id="46" w:name="_Toc191848060"/>
      <w:bookmarkStart w:id="47" w:name="_Toc194937539"/>
      <w:bookmarkStart w:id="48" w:name="_Toc97191424"/>
      <w:r>
        <w:rPr>
          <w:rFonts w:hint="eastAsia"/>
        </w:rPr>
        <w:t>规范性引用文件</w:t>
      </w:r>
      <w:bookmarkEnd w:id="37"/>
      <w:bookmarkEnd w:id="38"/>
      <w:bookmarkEnd w:id="39"/>
      <w:bookmarkEnd w:id="40"/>
      <w:bookmarkEnd w:id="41"/>
      <w:bookmarkEnd w:id="42"/>
      <w:bookmarkEnd w:id="43"/>
      <w:bookmarkEnd w:id="44"/>
      <w:bookmarkEnd w:id="45"/>
      <w:bookmarkEnd w:id="46"/>
      <w:bookmarkEnd w:id="47"/>
      <w:bookmarkEnd w:id="48"/>
    </w:p>
    <w:sdt>
      <w:sdtPr>
        <w:rPr>
          <w:rFonts w:hint="eastAsia"/>
        </w:rPr>
        <w:id w:val="715848253"/>
        <w:placeholder>
          <w:docPart w:val="52EDCECD5C7145778E240CF11B5B1410"/>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14:paraId="3746C263">
          <w:pPr>
            <w:pStyle w:val="57"/>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309C1307">
      <w:pPr>
        <w:pStyle w:val="25"/>
        <w:widowControl/>
        <w:autoSpaceDE w:val="0"/>
        <w:autoSpaceDN w:val="0"/>
        <w:adjustRightInd/>
        <w:spacing w:line="240" w:lineRule="auto"/>
        <w:ind w:firstLine="420" w:firstLineChars="200"/>
      </w:pPr>
      <w:bookmarkStart w:id="49" w:name="OLE_LINK21"/>
      <w:r>
        <w:rPr>
          <w:rFonts w:hint="eastAsia" w:ascii="宋体" w:hAnsi="Times New Roman"/>
          <w:kern w:val="0"/>
          <w:sz w:val="21"/>
          <w:szCs w:val="20"/>
          <w:lang w:bidi="ar"/>
        </w:rPr>
        <w:t>GB 8978  污水综合排放标准</w:t>
      </w:r>
    </w:p>
    <w:p w14:paraId="6E92BCD2">
      <w:pPr>
        <w:pStyle w:val="25"/>
        <w:widowControl/>
        <w:autoSpaceDE w:val="0"/>
        <w:autoSpaceDN w:val="0"/>
        <w:adjustRightInd/>
        <w:spacing w:line="240" w:lineRule="auto"/>
        <w:ind w:firstLine="420" w:firstLineChars="200"/>
      </w:pPr>
      <w:r>
        <w:rPr>
          <w:rFonts w:hint="eastAsia" w:ascii="宋体" w:hAnsi="Times New Roman"/>
          <w:kern w:val="0"/>
          <w:sz w:val="21"/>
          <w:szCs w:val="20"/>
          <w:lang w:bidi="ar"/>
        </w:rPr>
        <w:t>GB 12348 工业企业厂界环境噪声排放标准</w:t>
      </w:r>
    </w:p>
    <w:p w14:paraId="0E62B6DC">
      <w:pPr>
        <w:pStyle w:val="25"/>
        <w:widowControl/>
        <w:autoSpaceDE w:val="0"/>
        <w:autoSpaceDN w:val="0"/>
        <w:adjustRightInd/>
        <w:spacing w:line="240" w:lineRule="auto"/>
        <w:ind w:firstLine="420" w:firstLineChars="200"/>
      </w:pPr>
      <w:r>
        <w:rPr>
          <w:rFonts w:hint="eastAsia" w:ascii="宋体" w:hAnsi="Times New Roman"/>
          <w:kern w:val="0"/>
          <w:sz w:val="21"/>
          <w:szCs w:val="20"/>
          <w:lang w:bidi="ar"/>
        </w:rPr>
        <w:t>GB 13691 陶瓷生产防尘技术规程</w:t>
      </w:r>
    </w:p>
    <w:p w14:paraId="7C0DBF0E">
      <w:pPr>
        <w:pStyle w:val="25"/>
        <w:widowControl/>
        <w:autoSpaceDE w:val="0"/>
        <w:autoSpaceDN w:val="0"/>
        <w:adjustRightInd/>
        <w:spacing w:line="240" w:lineRule="auto"/>
        <w:ind w:firstLine="420" w:firstLineChars="200"/>
      </w:pPr>
      <w:r>
        <w:rPr>
          <w:rFonts w:hint="eastAsia" w:ascii="宋体" w:hAnsi="Times New Roman"/>
          <w:kern w:val="0"/>
          <w:sz w:val="21"/>
          <w:szCs w:val="20"/>
          <w:lang w:bidi="ar"/>
        </w:rPr>
        <w:t>GB 25464陶瓷工业污染物排放标准</w:t>
      </w:r>
    </w:p>
    <w:p w14:paraId="36677193">
      <w:pPr>
        <w:pStyle w:val="25"/>
        <w:widowControl/>
        <w:autoSpaceDE w:val="0"/>
        <w:autoSpaceDN w:val="0"/>
        <w:adjustRightInd/>
        <w:spacing w:line="240" w:lineRule="auto"/>
        <w:ind w:firstLine="420" w:firstLineChars="200"/>
      </w:pPr>
      <w:r>
        <w:rPr>
          <w:rFonts w:hint="eastAsia" w:ascii="宋体" w:hAnsi="Times New Roman"/>
          <w:kern w:val="0"/>
          <w:sz w:val="21"/>
          <w:szCs w:val="20"/>
          <w:lang w:bidi="ar"/>
        </w:rPr>
        <w:t>GB 39800.1 个体防护装备配备规范 第1部分：总则</w:t>
      </w:r>
    </w:p>
    <w:p w14:paraId="397CE70D">
      <w:pPr>
        <w:pStyle w:val="25"/>
        <w:widowControl/>
        <w:autoSpaceDE w:val="0"/>
        <w:autoSpaceDN w:val="0"/>
        <w:adjustRightInd/>
        <w:spacing w:line="240" w:lineRule="auto"/>
        <w:ind w:firstLine="420" w:firstLineChars="200"/>
      </w:pPr>
      <w:r>
        <w:rPr>
          <w:rFonts w:hint="eastAsia" w:ascii="宋体" w:hAnsi="Times New Roman"/>
          <w:kern w:val="0"/>
          <w:sz w:val="21"/>
          <w:szCs w:val="20"/>
          <w:lang w:bidi="ar"/>
        </w:rPr>
        <w:t>GB 39800.5 个体防护装备配备规范 第5部分:建材</w:t>
      </w:r>
    </w:p>
    <w:p w14:paraId="07B89E9D">
      <w:pPr>
        <w:pStyle w:val="25"/>
        <w:widowControl/>
        <w:autoSpaceDE w:val="0"/>
        <w:autoSpaceDN w:val="0"/>
        <w:adjustRightInd/>
        <w:spacing w:line="240" w:lineRule="auto"/>
        <w:ind w:firstLine="420" w:firstLineChars="200"/>
      </w:pPr>
      <w:r>
        <w:rPr>
          <w:rFonts w:hint="eastAsia" w:ascii="宋体" w:hAnsi="Times New Roman"/>
          <w:kern w:val="0"/>
          <w:sz w:val="21"/>
          <w:szCs w:val="20"/>
          <w:lang w:bidi="ar"/>
        </w:rPr>
        <w:t>QB/T 2578</w:t>
      </w:r>
      <w:r>
        <w:rPr>
          <w:rFonts w:hint="eastAsia" w:ascii="宋体" w:hAnsi="Times New Roman"/>
          <w:kern w:val="0"/>
          <w:sz w:val="21"/>
          <w:szCs w:val="20"/>
          <w:lang w:bidi="ar"/>
        </w:rPr>
        <w:tab/>
      </w:r>
      <w:r>
        <w:rPr>
          <w:rFonts w:hint="eastAsia" w:ascii="宋体" w:hAnsi="Times New Roman"/>
          <w:kern w:val="0"/>
          <w:sz w:val="21"/>
          <w:szCs w:val="20"/>
          <w:lang w:bidi="ar"/>
        </w:rPr>
        <w:t>陶瓷原料化学成分光度分析方法</w:t>
      </w:r>
    </w:p>
    <w:p w14:paraId="50A9AC0D">
      <w:pPr>
        <w:pStyle w:val="25"/>
        <w:widowControl/>
        <w:autoSpaceDE w:val="0"/>
        <w:autoSpaceDN w:val="0"/>
        <w:adjustRightInd/>
        <w:spacing w:line="240" w:lineRule="auto"/>
        <w:ind w:firstLine="420" w:firstLineChars="200"/>
      </w:pPr>
      <w:r>
        <w:rPr>
          <w:rFonts w:hint="eastAsia" w:ascii="宋体" w:hAnsi="Times New Roman"/>
          <w:kern w:val="0"/>
          <w:sz w:val="21"/>
          <w:szCs w:val="20"/>
          <w:lang w:bidi="ar"/>
        </w:rPr>
        <w:t>DB13/ 5214 陶瓷工业大气污染物排放标准</w:t>
      </w:r>
      <w:bookmarkEnd w:id="49"/>
    </w:p>
    <w:p w14:paraId="183A3F59">
      <w:pPr>
        <w:pStyle w:val="105"/>
        <w:spacing w:before="312" w:after="312"/>
      </w:pPr>
      <w:bookmarkStart w:id="50" w:name="_Toc97191425"/>
      <w:bookmarkStart w:id="51" w:name="_Toc191848061"/>
      <w:bookmarkStart w:id="52" w:name="_Toc164499550"/>
      <w:bookmarkStart w:id="53" w:name="_Toc194937540"/>
      <w:r>
        <w:rPr>
          <w:rFonts w:hint="eastAsia"/>
          <w:szCs w:val="21"/>
        </w:rPr>
        <w:t>术语和定义</w:t>
      </w:r>
      <w:bookmarkEnd w:id="50"/>
      <w:bookmarkEnd w:id="51"/>
      <w:bookmarkEnd w:id="52"/>
      <w:bookmarkEnd w:id="53"/>
    </w:p>
    <w:sdt>
      <w:sdtPr>
        <w:id w:val="-1909835108"/>
        <w:placeholder>
          <w:docPart w:val="4861900171D149E6B55CD3FF210FA3D0"/>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14:paraId="0D9CFDE5">
          <w:pPr>
            <w:pStyle w:val="57"/>
          </w:pPr>
          <w:bookmarkStart w:id="54" w:name="_Toc26986532"/>
          <w:bookmarkEnd w:id="54"/>
          <w:r>
            <w:t>下列术语和定义适用于本文件。</w:t>
          </w:r>
        </w:p>
      </w:sdtContent>
    </w:sdt>
    <w:p w14:paraId="5AC4F562">
      <w:pPr>
        <w:pStyle w:val="57"/>
      </w:pPr>
    </w:p>
    <w:p w14:paraId="51069D79">
      <w:pPr>
        <w:pStyle w:val="57"/>
        <w:ind w:firstLine="0" w:firstLineChars="0"/>
        <w:rPr>
          <w:rFonts w:ascii="黑体" w:eastAsia="黑体"/>
          <w:szCs w:val="21"/>
        </w:rPr>
      </w:pPr>
      <w:r>
        <w:rPr>
          <w:rFonts w:hint="eastAsia" w:ascii="黑体" w:eastAsia="黑体"/>
          <w:szCs w:val="21"/>
        </w:rPr>
        <w:t>3.1</w:t>
      </w:r>
    </w:p>
    <w:p w14:paraId="05D401E1">
      <w:pPr>
        <w:pStyle w:val="57"/>
        <w:ind w:firstLineChars="0"/>
        <w:rPr>
          <w:rFonts w:hint="default" w:ascii="黑体" w:eastAsia="黑体"/>
          <w:szCs w:val="21"/>
          <w:lang w:val="en-US" w:eastAsia="zh-CN"/>
        </w:rPr>
      </w:pPr>
      <w:r>
        <w:rPr>
          <w:rFonts w:hint="eastAsia" w:ascii="黑体" w:eastAsia="黑体"/>
          <w:szCs w:val="21"/>
        </w:rPr>
        <w:t>梭式窑炉</w:t>
      </w:r>
      <w:r>
        <w:rPr>
          <w:rFonts w:hint="eastAsia" w:ascii="黑体" w:eastAsia="黑体"/>
          <w:szCs w:val="21"/>
          <w:lang w:val="en-US" w:eastAsia="zh-CN"/>
        </w:rPr>
        <w:t xml:space="preserve">  shuttle  kiln</w:t>
      </w:r>
    </w:p>
    <w:p w14:paraId="3158BCD3">
      <w:pPr>
        <w:pStyle w:val="57"/>
        <w:ind w:firstLineChars="0"/>
      </w:pPr>
      <w:r>
        <w:rPr>
          <w:rFonts w:hint="eastAsia"/>
        </w:rPr>
        <w:t>是一种用于定瓷烧制的现代化间歇式窑炉。它的结构与隧道窑的烧成带相近，由窑室和窑车两大部分组成。坯件码放在窑车棚架上，推进窑室内进行烧制，在烧成并冷却之后，将窑车和制品拉出窑室。因其窑车如同梭子般在窑内进出，故而称为梭式窑。</w:t>
      </w:r>
    </w:p>
    <w:p w14:paraId="3450CB50">
      <w:pPr>
        <w:pStyle w:val="105"/>
        <w:spacing w:before="312" w:after="312"/>
      </w:pPr>
      <w:bookmarkStart w:id="55" w:name="_Toc164499551"/>
      <w:bookmarkStart w:id="56" w:name="_Toc194937541"/>
      <w:bookmarkStart w:id="57" w:name="_Toc191848062"/>
      <w:r>
        <w:rPr>
          <w:rFonts w:hint="eastAsia"/>
        </w:rPr>
        <w:t>工艺流程</w:t>
      </w:r>
      <w:bookmarkEnd w:id="55"/>
      <w:bookmarkEnd w:id="56"/>
      <w:bookmarkEnd w:id="57"/>
    </w:p>
    <w:p w14:paraId="1A947BAE">
      <w:pPr>
        <w:pStyle w:val="57"/>
      </w:pPr>
      <w:r>
        <w:rPr>
          <w:rFonts w:hint="eastAsia"/>
        </w:rPr>
        <w:t>素烧</w:t>
      </w:r>
      <w:r>
        <w:t>→</w:t>
      </w:r>
      <w:r>
        <w:rPr>
          <w:rFonts w:hint="eastAsia"/>
        </w:rPr>
        <w:t>打底标</w:t>
      </w:r>
      <w:r>
        <w:t>→</w:t>
      </w:r>
      <w:r>
        <w:rPr>
          <w:rFonts w:hint="eastAsia"/>
        </w:rPr>
        <w:t>施釉（白釉/色釉）</w:t>
      </w:r>
      <w:r>
        <w:t>→</w:t>
      </w:r>
      <w:r>
        <w:rPr>
          <w:rFonts w:hint="eastAsia"/>
        </w:rPr>
        <w:t>装窑</w:t>
      </w:r>
      <w:r>
        <w:t>→</w:t>
      </w:r>
      <w:r>
        <w:rPr>
          <w:rFonts w:hint="eastAsia"/>
        </w:rPr>
        <w:t>烧制</w:t>
      </w:r>
      <w:r>
        <w:t>→</w:t>
      </w:r>
      <w:r>
        <w:rPr>
          <w:rFonts w:hint="eastAsia"/>
        </w:rPr>
        <w:t>出窑</w:t>
      </w:r>
    </w:p>
    <w:p w14:paraId="4D597DDA">
      <w:pPr>
        <w:pStyle w:val="105"/>
        <w:spacing w:before="312" w:after="312"/>
      </w:pPr>
      <w:bookmarkStart w:id="58" w:name="_Toc194937542"/>
      <w:bookmarkStart w:id="59" w:name="_Toc191848063"/>
      <w:bookmarkStart w:id="60" w:name="_Toc164499552"/>
      <w:r>
        <w:rPr>
          <w:rFonts w:hint="eastAsia"/>
        </w:rPr>
        <w:t>工艺操作</w:t>
      </w:r>
      <w:bookmarkEnd w:id="58"/>
      <w:bookmarkEnd w:id="59"/>
      <w:bookmarkEnd w:id="60"/>
    </w:p>
    <w:p w14:paraId="7D3E0482">
      <w:pPr>
        <w:pStyle w:val="106"/>
        <w:spacing w:before="156" w:after="156"/>
        <w:ind w:left="0"/>
        <w:rPr>
          <w:rFonts w:eastAsia="宋体"/>
        </w:rPr>
      </w:pPr>
      <w:bookmarkStart w:id="61" w:name="_Toc194937543"/>
      <w:bookmarkStart w:id="62" w:name="_Toc191848064"/>
      <w:bookmarkStart w:id="63" w:name="_Toc164499553"/>
      <w:r>
        <w:rPr>
          <w:rFonts w:hint="eastAsia"/>
        </w:rPr>
        <w:t>素烧</w:t>
      </w:r>
      <w:bookmarkEnd w:id="61"/>
      <w:bookmarkEnd w:id="62"/>
      <w:bookmarkEnd w:id="63"/>
    </w:p>
    <w:p w14:paraId="4F3FFA25">
      <w:pPr>
        <w:pStyle w:val="95"/>
        <w:numPr>
          <w:ilvl w:val="4"/>
          <w:numId w:val="0"/>
        </w:numPr>
        <w:spacing w:before="156" w:after="156"/>
      </w:pPr>
      <w:r>
        <w:rPr>
          <w:rFonts w:hint="eastAsia"/>
        </w:rPr>
        <w:t>5.1.1窑炉和燃料</w:t>
      </w:r>
    </w:p>
    <w:p w14:paraId="646C2E4A">
      <w:pPr>
        <w:pStyle w:val="57"/>
        <w:ind w:firstLineChars="0"/>
      </w:pPr>
      <w:r>
        <w:rPr>
          <w:rFonts w:hint="eastAsia"/>
        </w:rPr>
        <w:t>窑炉：采用梭式窑炉，具有温度控制精准、烧成均匀、能耗低等特点。</w:t>
      </w:r>
    </w:p>
    <w:p w14:paraId="2538A659">
      <w:pPr>
        <w:pStyle w:val="57"/>
        <w:ind w:firstLineChars="0"/>
      </w:pPr>
      <w:r>
        <w:rPr>
          <w:rFonts w:hint="eastAsia"/>
        </w:rPr>
        <w:t>燃料：北宋前用柴，自北宋起用当地烟煤（青干集）。现在多用燃气和电。</w:t>
      </w:r>
    </w:p>
    <w:p w14:paraId="09527987">
      <w:pPr>
        <w:pStyle w:val="66"/>
        <w:numPr>
          <w:ilvl w:val="3"/>
          <w:numId w:val="0"/>
        </w:numPr>
        <w:spacing w:before="156" w:after="156"/>
      </w:pPr>
      <w:bookmarkStart w:id="64" w:name="_Toc164499556"/>
      <w:r>
        <w:rPr>
          <w:rFonts w:hint="eastAsia"/>
        </w:rPr>
        <w:t>5.1.2 资源及要求</w:t>
      </w:r>
      <w:bookmarkEnd w:id="64"/>
    </w:p>
    <w:p w14:paraId="3C0CF7AD">
      <w:pPr>
        <w:pStyle w:val="57"/>
      </w:pPr>
      <w:r>
        <w:rPr>
          <w:rFonts w:hint="eastAsia"/>
        </w:rPr>
        <w:t>能源供应：确保燃料供应稳定，满足素烧过程的热量需求。</w:t>
      </w:r>
    </w:p>
    <w:p w14:paraId="58867433">
      <w:pPr>
        <w:pStyle w:val="57"/>
      </w:pPr>
      <w:r>
        <w:rPr>
          <w:rFonts w:hint="eastAsia"/>
        </w:rPr>
        <w:t>坯体管理：修整、装饰好的生坯应及时送入窑炉，按照大小、形状分类摆放，确保空气流通。记录每批坯体进入窑炉的时间、数量及位置。</w:t>
      </w:r>
    </w:p>
    <w:p w14:paraId="3924A5E4">
      <w:pPr>
        <w:pStyle w:val="66"/>
        <w:numPr>
          <w:ilvl w:val="3"/>
          <w:numId w:val="0"/>
        </w:numPr>
        <w:spacing w:before="156" w:after="156"/>
      </w:pPr>
      <w:bookmarkStart w:id="65" w:name="_Toc164499557"/>
      <w:r>
        <w:rPr>
          <w:rFonts w:hint="eastAsia"/>
        </w:rPr>
        <w:t>5.1.3 环境要求</w:t>
      </w:r>
      <w:bookmarkEnd w:id="65"/>
    </w:p>
    <w:p w14:paraId="4DFCDBBE">
      <w:pPr>
        <w:pStyle w:val="57"/>
      </w:pPr>
      <w:r>
        <w:rPr>
          <w:rFonts w:hint="eastAsia"/>
        </w:rPr>
        <w:t>窑炉环境：窑炉应保持良好的密封性能，避免热量散失。窑内环境应清洁，无异物影响坯体烧成。</w:t>
      </w:r>
    </w:p>
    <w:p w14:paraId="7886DF89">
      <w:pPr>
        <w:pStyle w:val="57"/>
      </w:pPr>
      <w:r>
        <w:rPr>
          <w:rFonts w:hint="eastAsia"/>
        </w:rPr>
        <w:t>外部环境：窑炉周围应避免高温、潮湿、强风等不利因素影响，确保素烧过程不受外部环境干扰。</w:t>
      </w:r>
    </w:p>
    <w:p w14:paraId="693A90F7">
      <w:pPr>
        <w:pStyle w:val="66"/>
        <w:numPr>
          <w:ilvl w:val="3"/>
          <w:numId w:val="0"/>
        </w:numPr>
        <w:spacing w:before="156" w:after="156"/>
      </w:pPr>
      <w:bookmarkStart w:id="66" w:name="_Toc164499558"/>
      <w:r>
        <w:rPr>
          <w:rFonts w:hint="eastAsia"/>
        </w:rPr>
        <w:t xml:space="preserve">5.1.4 </w:t>
      </w:r>
      <w:bookmarkEnd w:id="66"/>
      <w:r>
        <w:rPr>
          <w:rFonts w:hint="eastAsia"/>
        </w:rPr>
        <w:t>操作步骤</w:t>
      </w:r>
    </w:p>
    <w:p w14:paraId="06D839DD">
      <w:pPr>
        <w:pStyle w:val="57"/>
      </w:pPr>
      <w:bookmarkStart w:id="67" w:name="_Hlk164498982"/>
      <w:r>
        <w:rPr>
          <w:rFonts w:hint="eastAsia"/>
        </w:rPr>
        <w:t>素烧工艺操作步骤按下列顺序及要求执行：</w:t>
      </w:r>
    </w:p>
    <w:bookmarkEnd w:id="67"/>
    <w:p w14:paraId="30307681">
      <w:pPr>
        <w:pStyle w:val="175"/>
      </w:pPr>
      <w:bookmarkStart w:id="68" w:name="OLE_LINK3"/>
      <w:r>
        <w:rPr>
          <w:rFonts w:hint="eastAsia"/>
        </w:rPr>
        <w:t>坯体入窑</w:t>
      </w:r>
      <w:bookmarkEnd w:id="68"/>
      <w:r>
        <w:rPr>
          <w:rFonts w:hint="eastAsia"/>
        </w:rPr>
        <w:t>：使用搬运车将修整、装饰好的生坯运送至烧成车间，根据产品分类，摆放于窑车上，确保间距适宜，利于热量流通。</w:t>
      </w:r>
    </w:p>
    <w:p w14:paraId="4E3EF493">
      <w:pPr>
        <w:pStyle w:val="175"/>
      </w:pPr>
      <w:bookmarkStart w:id="69" w:name="OLE_LINK4"/>
      <w:r>
        <w:rPr>
          <w:rFonts w:hint="eastAsia"/>
        </w:rPr>
        <w:t>过程监控</w:t>
      </w:r>
      <w:bookmarkEnd w:id="69"/>
      <w:r>
        <w:rPr>
          <w:rFonts w:hint="eastAsia"/>
        </w:rPr>
        <w:t>：按烧成曲线烧制，窑工定时巡检窑炉，观察热电偶读数，记录温度数据，根据实际情况调整烧制参数。</w:t>
      </w:r>
    </w:p>
    <w:p w14:paraId="603990B4">
      <w:pPr>
        <w:pStyle w:val="175"/>
      </w:pPr>
      <w:bookmarkStart w:id="70" w:name="OLE_LINK5"/>
      <w:r>
        <w:rPr>
          <w:rFonts w:hint="eastAsia"/>
        </w:rPr>
        <w:t>素烧完成</w:t>
      </w:r>
      <w:bookmarkEnd w:id="70"/>
      <w:r>
        <w:rPr>
          <w:rFonts w:hint="eastAsia"/>
        </w:rPr>
        <w:t>：当窑内温度达到预设温度并保持一段时间后，判定素烧完成。关闭开关，让坯体在窑内自然冷却至室温。</w:t>
      </w:r>
    </w:p>
    <w:p w14:paraId="1B713969">
      <w:pPr>
        <w:pStyle w:val="175"/>
      </w:pPr>
      <w:bookmarkStart w:id="71" w:name="OLE_LINK6"/>
      <w:r>
        <w:rPr>
          <w:rFonts w:hint="eastAsia"/>
        </w:rPr>
        <w:t>坯体出窑</w:t>
      </w:r>
      <w:bookmarkEnd w:id="71"/>
      <w:r>
        <w:rPr>
          <w:rFonts w:hint="eastAsia"/>
        </w:rPr>
        <w:t>：佩戴耐高温手套，使用搬运车将素烧好的坯体转移至暂存区，准备进行后续工序。</w:t>
      </w:r>
    </w:p>
    <w:p w14:paraId="61B439D3">
      <w:pPr>
        <w:pStyle w:val="95"/>
        <w:numPr>
          <w:ilvl w:val="4"/>
          <w:numId w:val="0"/>
        </w:numPr>
        <w:spacing w:before="156" w:after="156"/>
      </w:pPr>
      <w:r>
        <w:rPr>
          <w:rFonts w:hint="eastAsia"/>
        </w:rPr>
        <w:t>5.1.5 技术要求</w:t>
      </w:r>
    </w:p>
    <w:p w14:paraId="5A1B34D5">
      <w:pPr>
        <w:pStyle w:val="57"/>
      </w:pPr>
      <w:r>
        <w:rPr>
          <w:rFonts w:hint="eastAsia"/>
        </w:rPr>
        <w:t>均匀烧成：坯体各部位应均匀受热，无明显温度差异。</w:t>
      </w:r>
    </w:p>
    <w:p w14:paraId="60C6BFC5">
      <w:pPr>
        <w:pStyle w:val="57"/>
      </w:pPr>
      <w:r>
        <w:rPr>
          <w:rFonts w:hint="eastAsia"/>
        </w:rPr>
        <w:t>坯体强度：素烧后坯体应具有一定的硬度和强度，无明显变形或开裂。</w:t>
      </w:r>
    </w:p>
    <w:p w14:paraId="43B7D417">
      <w:pPr>
        <w:pStyle w:val="95"/>
        <w:numPr>
          <w:ilvl w:val="4"/>
          <w:numId w:val="0"/>
        </w:numPr>
        <w:spacing w:before="156" w:after="156"/>
      </w:pPr>
      <w:r>
        <w:rPr>
          <w:rFonts w:hint="eastAsia"/>
        </w:rPr>
        <w:t>5.1.6 工艺参数</w:t>
      </w:r>
    </w:p>
    <w:p w14:paraId="7E5042EE">
      <w:pPr>
        <w:pStyle w:val="57"/>
      </w:pPr>
      <w:r>
        <w:rPr>
          <w:rFonts w:hint="eastAsia"/>
        </w:rPr>
        <w:t>升温速率：根据坯体大小、厚度及泥料特性，设定升温曲线。</w:t>
      </w:r>
    </w:p>
    <w:p w14:paraId="682496B9">
      <w:pPr>
        <w:pStyle w:val="57"/>
      </w:pPr>
      <w:r>
        <w:rPr>
          <w:rFonts w:hint="eastAsia"/>
        </w:rPr>
        <w:t>保温时间：在目标温度下保持60</w:t>
      </w:r>
      <w:r>
        <w:t>min</w:t>
      </w:r>
      <w:r>
        <w:rPr>
          <w:rFonts w:hint="eastAsia" w:hAnsi="宋体"/>
        </w:rPr>
        <w:t>～</w:t>
      </w:r>
      <w:r>
        <w:rPr>
          <w:rFonts w:hint="eastAsia"/>
        </w:rPr>
        <w:t>130m</w:t>
      </w:r>
      <w:r>
        <w:t>in</w:t>
      </w:r>
      <w:r>
        <w:rPr>
          <w:rFonts w:hint="eastAsia"/>
        </w:rPr>
        <w:t>，确保坯体充分烧结。</w:t>
      </w:r>
    </w:p>
    <w:p w14:paraId="5EB7378F">
      <w:pPr>
        <w:pStyle w:val="57"/>
      </w:pPr>
      <w:r>
        <w:rPr>
          <w:rFonts w:hint="eastAsia"/>
        </w:rPr>
        <w:t>素烧时间：根据升温速率、保温时间及冷却时间，一般为10h</w:t>
      </w:r>
      <w:r>
        <w:rPr>
          <w:rFonts w:hint="eastAsia" w:hAnsi="宋体"/>
        </w:rPr>
        <w:t>～</w:t>
      </w:r>
      <w:r>
        <w:rPr>
          <w:rFonts w:hint="eastAsia"/>
        </w:rPr>
        <w:t>15h。</w:t>
      </w:r>
    </w:p>
    <w:p w14:paraId="35DB488F">
      <w:pPr>
        <w:pStyle w:val="66"/>
        <w:numPr>
          <w:ilvl w:val="3"/>
          <w:numId w:val="0"/>
        </w:numPr>
        <w:spacing w:before="156" w:after="156"/>
      </w:pPr>
      <w:bookmarkStart w:id="72" w:name="_Toc164499559"/>
      <w:r>
        <w:rPr>
          <w:rFonts w:hint="eastAsia"/>
        </w:rPr>
        <w:t>5.1.7监测及要求</w:t>
      </w:r>
      <w:bookmarkEnd w:id="72"/>
    </w:p>
    <w:p w14:paraId="387B6719">
      <w:pPr>
        <w:pStyle w:val="57"/>
      </w:pPr>
      <w:r>
        <w:rPr>
          <w:rFonts w:hint="eastAsia"/>
        </w:rPr>
        <w:t>过程监控：窑工应定期记录窑炉温度数据，观察坯体烧成状况，发现异常立即调整烧制策略或上报处理。</w:t>
      </w:r>
    </w:p>
    <w:p w14:paraId="712EF90E">
      <w:pPr>
        <w:pStyle w:val="57"/>
      </w:pPr>
      <w:r>
        <w:rPr>
          <w:rFonts w:hint="eastAsia"/>
        </w:rPr>
        <w:t>质量检验：素烧完成后，随机抽取一定比例的坯体进行外观与结构分析，确保符合素烧标准。对有开裂、变形问题的坯体进行统计分析，反馈至工艺改进环节。</w:t>
      </w:r>
    </w:p>
    <w:p w14:paraId="32157929">
      <w:pPr>
        <w:pStyle w:val="106"/>
        <w:spacing w:before="156" w:after="156"/>
        <w:ind w:left="0"/>
      </w:pPr>
      <w:bookmarkStart w:id="73" w:name="_Toc164499560"/>
      <w:bookmarkStart w:id="74" w:name="_Toc191848065"/>
      <w:bookmarkStart w:id="75" w:name="_Toc194937544"/>
      <w:r>
        <w:rPr>
          <w:rFonts w:hint="eastAsia"/>
        </w:rPr>
        <w:t>打底标</w:t>
      </w:r>
      <w:bookmarkEnd w:id="73"/>
      <w:bookmarkEnd w:id="74"/>
      <w:bookmarkEnd w:id="75"/>
    </w:p>
    <w:p w14:paraId="7CD5E319">
      <w:pPr>
        <w:pStyle w:val="95"/>
        <w:numPr>
          <w:ilvl w:val="4"/>
          <w:numId w:val="0"/>
        </w:numPr>
        <w:spacing w:before="156" w:after="156"/>
      </w:pPr>
      <w:r>
        <w:rPr>
          <w:rFonts w:hint="eastAsia"/>
        </w:rPr>
        <w:t>5.2.1 操作步骤</w:t>
      </w:r>
    </w:p>
    <w:p w14:paraId="347621AE">
      <w:pPr>
        <w:pStyle w:val="57"/>
      </w:pPr>
      <w:bookmarkStart w:id="76" w:name="_Hlk164499116"/>
      <w:r>
        <w:rPr>
          <w:rFonts w:hint="eastAsia"/>
        </w:rPr>
        <w:t>打底工艺操作步骤按下列顺序及要求执行：</w:t>
      </w:r>
    </w:p>
    <w:bookmarkEnd w:id="76"/>
    <w:p w14:paraId="32F6E3C2">
      <w:pPr>
        <w:pStyle w:val="175"/>
        <w:numPr>
          <w:ilvl w:val="0"/>
          <w:numId w:val="32"/>
        </w:numPr>
      </w:pPr>
      <w:r>
        <w:rPr>
          <w:rFonts w:hint="eastAsia"/>
        </w:rPr>
        <w:t>坯体定位：将素烧好的坯体放置于激光雕刻机工作台上，根据标识位置进行精确定位。</w:t>
      </w:r>
    </w:p>
    <w:p w14:paraId="448C5142">
      <w:pPr>
        <w:pStyle w:val="175"/>
      </w:pPr>
      <w:r>
        <w:rPr>
          <w:rFonts w:hint="eastAsia"/>
        </w:rPr>
        <w:t>设计导入：在计算机控制系统中设计或导入公司标识图案，调整尺寸、位置、激光功率等参数。</w:t>
      </w:r>
    </w:p>
    <w:p w14:paraId="56162B44">
      <w:pPr>
        <w:pStyle w:val="175"/>
      </w:pPr>
      <w:r>
        <w:rPr>
          <w:rFonts w:hint="eastAsia"/>
        </w:rPr>
        <w:t>启动设备：开启激光雕刻机，按照设定参数进行标识雕刻。</w:t>
      </w:r>
    </w:p>
    <w:p w14:paraId="2B86A4D3">
      <w:pPr>
        <w:pStyle w:val="175"/>
      </w:pPr>
      <w:r>
        <w:rPr>
          <w:rFonts w:hint="eastAsia"/>
        </w:rPr>
        <w:t>过程监控：操作员观察雕刻过程，确保标识清晰、完整。</w:t>
      </w:r>
    </w:p>
    <w:p w14:paraId="676DF350">
      <w:pPr>
        <w:pStyle w:val="175"/>
      </w:pPr>
      <w:r>
        <w:rPr>
          <w:rFonts w:hint="eastAsia"/>
        </w:rPr>
        <w:t>雕刻完成：雕刻完成后，检查标识质量，合格的坯体送至下一工序。</w:t>
      </w:r>
    </w:p>
    <w:p w14:paraId="001C3AE7">
      <w:pPr>
        <w:pStyle w:val="95"/>
        <w:numPr>
          <w:ilvl w:val="4"/>
          <w:numId w:val="0"/>
        </w:numPr>
        <w:spacing w:before="156" w:after="156"/>
      </w:pPr>
      <w:r>
        <w:rPr>
          <w:rFonts w:hint="eastAsia"/>
        </w:rPr>
        <w:t>5.2.2 技术要求</w:t>
      </w:r>
    </w:p>
    <w:p w14:paraId="560C668A">
      <w:pPr>
        <w:pStyle w:val="57"/>
      </w:pPr>
      <w:r>
        <w:rPr>
          <w:rFonts w:hint="eastAsia"/>
        </w:rPr>
        <w:t>标识清晰度：激光雕刻的公司标识应清晰可见，线条边缘锐利，无模糊、缺损。</w:t>
      </w:r>
    </w:p>
    <w:p w14:paraId="34C6A5EF">
      <w:pPr>
        <w:pStyle w:val="57"/>
      </w:pPr>
      <w:r>
        <w:rPr>
          <w:rFonts w:hint="eastAsia"/>
        </w:rPr>
        <w:t>热影响最小化：激光雕刻应尽可能减小对坯体热影响，防止局部应力集中导致后续工序开裂。</w:t>
      </w:r>
    </w:p>
    <w:p w14:paraId="43D895F8">
      <w:pPr>
        <w:pStyle w:val="95"/>
        <w:spacing w:before="156" w:after="156"/>
      </w:pPr>
      <w:r>
        <w:rPr>
          <w:rFonts w:hint="eastAsia"/>
        </w:rPr>
        <w:t>工艺参数</w:t>
      </w:r>
    </w:p>
    <w:p w14:paraId="66FE2442">
      <w:pPr>
        <w:pStyle w:val="57"/>
      </w:pPr>
      <w:r>
        <w:rPr>
          <w:rFonts w:hint="eastAsia"/>
        </w:rPr>
        <w:t>激光功率：根据坯体材质、厚度及标识复杂度，一般设置为50 W</w:t>
      </w:r>
      <w:r>
        <w:rPr>
          <w:rFonts w:hint="eastAsia" w:hAnsi="宋体"/>
        </w:rPr>
        <w:t>～</w:t>
      </w:r>
      <w:r>
        <w:rPr>
          <w:rFonts w:hint="eastAsia"/>
        </w:rPr>
        <w:t>150W。</w:t>
      </w:r>
    </w:p>
    <w:p w14:paraId="3EC1D7A9">
      <w:pPr>
        <w:pStyle w:val="57"/>
      </w:pPr>
      <w:r>
        <w:rPr>
          <w:rFonts w:hint="eastAsia"/>
        </w:rPr>
        <w:t>雕刻速度：根据标识尺寸、激光功率及坯体材质，一般设置为500 mm/s</w:t>
      </w:r>
      <w:r>
        <w:rPr>
          <w:rFonts w:hint="eastAsia" w:hAnsi="宋体"/>
        </w:rPr>
        <w:t>～</w:t>
      </w:r>
      <w:r>
        <w:rPr>
          <w:rFonts w:hint="eastAsia"/>
        </w:rPr>
        <w:t>1500mm/s。</w:t>
      </w:r>
    </w:p>
    <w:p w14:paraId="2D7B4683">
      <w:pPr>
        <w:pStyle w:val="57"/>
      </w:pPr>
      <w:r>
        <w:rPr>
          <w:rFonts w:hint="eastAsia"/>
        </w:rPr>
        <w:t>重复精度：确保标识位置重复雕刻的一致性，一般要求±0.1mm以内。</w:t>
      </w:r>
    </w:p>
    <w:p w14:paraId="6D4CDA71">
      <w:pPr>
        <w:pStyle w:val="106"/>
        <w:spacing w:before="156" w:after="156"/>
        <w:ind w:left="0"/>
      </w:pPr>
      <w:bookmarkStart w:id="77" w:name="_Toc164499567"/>
      <w:bookmarkStart w:id="78" w:name="_Toc191848066"/>
      <w:bookmarkStart w:id="79" w:name="_Toc194937545"/>
      <w:bookmarkStart w:id="80" w:name="OLE_LINK2"/>
      <w:r>
        <w:rPr>
          <w:rFonts w:hint="eastAsia"/>
        </w:rPr>
        <w:t>施釉</w:t>
      </w:r>
      <w:bookmarkEnd w:id="77"/>
      <w:r>
        <w:rPr>
          <w:rFonts w:hint="eastAsia"/>
        </w:rPr>
        <w:t>（白釉）</w:t>
      </w:r>
      <w:bookmarkEnd w:id="78"/>
      <w:bookmarkEnd w:id="79"/>
    </w:p>
    <w:bookmarkEnd w:id="80"/>
    <w:p w14:paraId="38650C80">
      <w:pPr>
        <w:pStyle w:val="95"/>
        <w:numPr>
          <w:ilvl w:val="4"/>
          <w:numId w:val="0"/>
        </w:numPr>
        <w:spacing w:before="156" w:after="156"/>
      </w:pPr>
      <w:r>
        <w:rPr>
          <w:rFonts w:hint="eastAsia"/>
        </w:rPr>
        <w:t>5.3.1 浸釉法施釉步骤</w:t>
      </w:r>
    </w:p>
    <w:p w14:paraId="179D5043">
      <w:pPr>
        <w:pStyle w:val="57"/>
      </w:pPr>
      <w:bookmarkStart w:id="81" w:name="_Hlk164499176"/>
      <w:r>
        <w:rPr>
          <w:rFonts w:hint="eastAsia"/>
        </w:rPr>
        <w:t>浸釉法施釉工艺操作步骤按下列顺序及要求执行</w:t>
      </w:r>
      <w:bookmarkEnd w:id="81"/>
      <w:r>
        <w:rPr>
          <w:rFonts w:hint="eastAsia"/>
        </w:rPr>
        <w:t>：</w:t>
      </w:r>
    </w:p>
    <w:p w14:paraId="091CD1F1">
      <w:pPr>
        <w:pStyle w:val="175"/>
        <w:numPr>
          <w:ilvl w:val="0"/>
          <w:numId w:val="33"/>
        </w:numPr>
      </w:pPr>
      <w:r>
        <w:rPr>
          <w:rFonts w:hint="eastAsia"/>
        </w:rPr>
        <w:t>坯体准备：将水磨好的坯体准备好，可使用遮蔽材料进行保护。</w:t>
      </w:r>
    </w:p>
    <w:p w14:paraId="31AEB57C">
      <w:pPr>
        <w:pStyle w:val="175"/>
      </w:pPr>
      <w:r>
        <w:rPr>
          <w:rFonts w:hint="eastAsia"/>
        </w:rPr>
        <w:t>釉液调配：根据产品种类或釉水不同，将釉料与水按照比例调配成不同密度釉液，使用搅拌设备充分搅拌均匀。</w:t>
      </w:r>
    </w:p>
    <w:p w14:paraId="167532F6">
      <w:pPr>
        <w:pStyle w:val="175"/>
      </w:pPr>
      <w:r>
        <w:rPr>
          <w:rFonts w:hint="eastAsia"/>
        </w:rPr>
        <w:t>浸釉操作：将坯体缓缓浸入釉液中，保持一定时间，使釉液充分渗透坯体表面。然后缓慢提出，倾斜坯体使多余的釉液自然滴落。</w:t>
      </w:r>
    </w:p>
    <w:p w14:paraId="2930C3D6">
      <w:pPr>
        <w:pStyle w:val="175"/>
      </w:pPr>
      <w:r>
        <w:rPr>
          <w:rFonts w:hint="eastAsia"/>
        </w:rPr>
        <w:t>晾干：将浸釉后的坯体放在晾干架上，自然晾干至釉面无明显水迹。</w:t>
      </w:r>
    </w:p>
    <w:p w14:paraId="4ED5B29F">
      <w:pPr>
        <w:pStyle w:val="95"/>
        <w:numPr>
          <w:ilvl w:val="4"/>
          <w:numId w:val="0"/>
        </w:numPr>
        <w:spacing w:before="156" w:after="156"/>
      </w:pPr>
      <w:r>
        <w:rPr>
          <w:rFonts w:hint="eastAsia"/>
        </w:rPr>
        <w:t>5.3.2 喷釉法施釉步骤</w:t>
      </w:r>
    </w:p>
    <w:p w14:paraId="77325B58">
      <w:pPr>
        <w:pStyle w:val="57"/>
      </w:pPr>
      <w:bookmarkStart w:id="82" w:name="_Hlk164499229"/>
      <w:r>
        <w:rPr>
          <w:rFonts w:hint="eastAsia"/>
        </w:rPr>
        <w:t>喷釉法施釉工艺操作步骤按下列顺序及要求执行：</w:t>
      </w:r>
    </w:p>
    <w:bookmarkEnd w:id="82"/>
    <w:p w14:paraId="61E73A26">
      <w:pPr>
        <w:pStyle w:val="175"/>
        <w:numPr>
          <w:ilvl w:val="0"/>
          <w:numId w:val="34"/>
        </w:numPr>
      </w:pPr>
      <w:r>
        <w:rPr>
          <w:rFonts w:hint="eastAsia"/>
        </w:rPr>
        <w:t>坯体准备：同5.3.1，a）。</w:t>
      </w:r>
    </w:p>
    <w:p w14:paraId="7EAEB551">
      <w:pPr>
        <w:pStyle w:val="175"/>
      </w:pPr>
      <w:r>
        <w:rPr>
          <w:rFonts w:hint="eastAsia"/>
        </w:rPr>
        <w:t>釉液调配：同5.3.1，b）。</w:t>
      </w:r>
    </w:p>
    <w:p w14:paraId="0F6EEBC0">
      <w:pPr>
        <w:pStyle w:val="175"/>
      </w:pPr>
      <w:r>
        <w:rPr>
          <w:rFonts w:hint="eastAsia"/>
        </w:rPr>
        <w:t>喷釉操作：穿戴防护装备，手持喷枪，保持适当距离（一般为15cm</w:t>
      </w:r>
      <w:r>
        <w:rPr>
          <w:rFonts w:hint="eastAsia" w:hAnsi="宋体"/>
        </w:rPr>
        <w:t>～</w:t>
      </w:r>
      <w:r>
        <w:rPr>
          <w:rFonts w:hint="eastAsia"/>
        </w:rPr>
        <w:t>30cm）和角度，均匀喷射釉液至坯体表面。对于复杂形状或细节部位，可调整喷枪角度和移动速度进行精细化施釉。</w:t>
      </w:r>
    </w:p>
    <w:p w14:paraId="2D56DA07">
      <w:pPr>
        <w:pStyle w:val="175"/>
      </w:pPr>
      <w:r>
        <w:rPr>
          <w:rFonts w:hint="eastAsia"/>
        </w:rPr>
        <w:t>晾干：同5.3.1，d）</w:t>
      </w:r>
    </w:p>
    <w:p w14:paraId="77F6F7A3">
      <w:pPr>
        <w:pStyle w:val="95"/>
        <w:numPr>
          <w:ilvl w:val="4"/>
          <w:numId w:val="0"/>
        </w:numPr>
        <w:spacing w:before="156" w:after="156"/>
      </w:pPr>
      <w:r>
        <w:rPr>
          <w:rFonts w:hint="eastAsia"/>
        </w:rPr>
        <w:t>5.3.3 刮底步骤</w:t>
      </w:r>
    </w:p>
    <w:p w14:paraId="588711CA">
      <w:pPr>
        <w:pStyle w:val="57"/>
      </w:pPr>
      <w:bookmarkStart w:id="83" w:name="_Hlk164499376"/>
      <w:r>
        <w:rPr>
          <w:rFonts w:hint="eastAsia"/>
        </w:rPr>
        <w:t>喷釉法施釉工艺操作步骤按下列顺序及要求执行：</w:t>
      </w:r>
    </w:p>
    <w:bookmarkEnd w:id="83"/>
    <w:p w14:paraId="50C249AC">
      <w:pPr>
        <w:pStyle w:val="175"/>
        <w:numPr>
          <w:ilvl w:val="0"/>
          <w:numId w:val="35"/>
        </w:numPr>
      </w:pPr>
      <w:r>
        <w:rPr>
          <w:rFonts w:hint="eastAsia"/>
        </w:rPr>
        <w:t>识别底足：确认坯体底足位置，使用标记笔或记号笔做好标记。</w:t>
      </w:r>
    </w:p>
    <w:p w14:paraId="48913CC7">
      <w:pPr>
        <w:pStyle w:val="175"/>
      </w:pPr>
      <w:r>
        <w:rPr>
          <w:rFonts w:hint="eastAsia"/>
        </w:rPr>
        <w:t>刮除釉料：使用钢锯条或工具，沿底足边缘轻轻刮去釉料，或海绵轻擦，确保底足无釉。</w:t>
      </w:r>
    </w:p>
    <w:p w14:paraId="06D56A59">
      <w:pPr>
        <w:pStyle w:val="175"/>
      </w:pPr>
      <w:r>
        <w:rPr>
          <w:rFonts w:hint="eastAsia"/>
        </w:rPr>
        <w:t>技术要求：</w:t>
      </w:r>
    </w:p>
    <w:p w14:paraId="445D99D2">
      <w:pPr>
        <w:pStyle w:val="175"/>
      </w:pPr>
      <w:r>
        <w:rPr>
          <w:rFonts w:hint="eastAsia"/>
        </w:rPr>
        <w:t>釉面均匀：无论是浸釉还是喷釉，釉面应均匀覆盖，无明显厚薄不均、漏釉现象。</w:t>
      </w:r>
    </w:p>
    <w:p w14:paraId="55E2DDB0">
      <w:pPr>
        <w:pStyle w:val="175"/>
      </w:pPr>
      <w:r>
        <w:rPr>
          <w:rFonts w:hint="eastAsia"/>
        </w:rPr>
        <w:t>釉层厚度：根据产品种类和釉色要求，控制釉层厚度在一定范围内（一般为0.2 mm</w:t>
      </w:r>
      <w:r>
        <w:rPr>
          <w:rFonts w:hint="eastAsia" w:hAnsi="宋体"/>
        </w:rPr>
        <w:t>～</w:t>
      </w:r>
      <w:r>
        <w:rPr>
          <w:rFonts w:hint="eastAsia"/>
        </w:rPr>
        <w:t>0.5mm）。</w:t>
      </w:r>
    </w:p>
    <w:p w14:paraId="7B5F7EF4">
      <w:pPr>
        <w:pStyle w:val="175"/>
      </w:pPr>
      <w:r>
        <w:rPr>
          <w:rFonts w:hint="eastAsia"/>
        </w:rPr>
        <w:t>底足无釉：刮底后，底足应无釉料残留，避免烧制时釉料熔融粘底。</w:t>
      </w:r>
    </w:p>
    <w:p w14:paraId="19964490">
      <w:pPr>
        <w:pStyle w:val="95"/>
        <w:numPr>
          <w:ilvl w:val="4"/>
          <w:numId w:val="0"/>
        </w:numPr>
        <w:spacing w:before="156" w:after="156"/>
      </w:pPr>
      <w:r>
        <w:rPr>
          <w:rFonts w:hint="eastAsia"/>
        </w:rPr>
        <w:t>5.3.4 工艺参数：</w:t>
      </w:r>
    </w:p>
    <w:p w14:paraId="34D10DC6">
      <w:pPr>
        <w:pStyle w:val="57"/>
      </w:pPr>
      <w:r>
        <w:rPr>
          <w:rFonts w:hint="eastAsia"/>
        </w:rPr>
        <w:t>浸釉时间：一般为</w:t>
      </w:r>
      <w:r>
        <w:rPr>
          <w:rFonts w:hint="eastAsia"/>
          <w:color w:val="FF0000"/>
        </w:rPr>
        <w:t>3s</w:t>
      </w:r>
      <w:r>
        <w:rPr>
          <w:rFonts w:hint="eastAsia" w:hAnsi="宋体"/>
          <w:color w:val="FF0000"/>
        </w:rPr>
        <w:t>～</w:t>
      </w:r>
      <w:r>
        <w:rPr>
          <w:rFonts w:hint="eastAsia"/>
          <w:color w:val="FF0000"/>
        </w:rPr>
        <w:t>15s</w:t>
      </w:r>
      <w:r>
        <w:rPr>
          <w:rFonts w:hint="eastAsia"/>
        </w:rPr>
        <w:t>，根据坯体大小、形状和釉液浓度调整。</w:t>
      </w:r>
    </w:p>
    <w:p w14:paraId="530A2704">
      <w:pPr>
        <w:pStyle w:val="57"/>
      </w:pPr>
      <w:r>
        <w:rPr>
          <w:rFonts w:hint="eastAsia"/>
        </w:rPr>
        <w:t>喷釉距离：一般为15cm</w:t>
      </w:r>
      <w:r>
        <w:rPr>
          <w:rFonts w:hint="eastAsia" w:hAnsi="宋体"/>
        </w:rPr>
        <w:t>～</w:t>
      </w:r>
      <w:r>
        <w:rPr>
          <w:rFonts w:hint="eastAsia"/>
        </w:rPr>
        <w:t>30</w:t>
      </w:r>
      <w:bookmarkStart w:id="84" w:name="OLE_LINK18"/>
      <w:r>
        <w:rPr>
          <w:rFonts w:hint="eastAsia"/>
        </w:rPr>
        <w:t>cm</w:t>
      </w:r>
      <w:bookmarkEnd w:id="84"/>
      <w:r>
        <w:rPr>
          <w:rFonts w:hint="eastAsia"/>
        </w:rPr>
        <w:t>，根据喷枪压力、釉液浓度和坯体表面粗糙度调整。</w:t>
      </w:r>
    </w:p>
    <w:p w14:paraId="4787A63C">
      <w:pPr>
        <w:pStyle w:val="57"/>
      </w:pPr>
      <w:r>
        <w:rPr>
          <w:rFonts w:hint="eastAsia"/>
        </w:rPr>
        <w:t>喷釉速度：根据喷枪压力、釉液浓度和坯体形状调整。</w:t>
      </w:r>
    </w:p>
    <w:p w14:paraId="3A012736">
      <w:pPr>
        <w:pStyle w:val="106"/>
        <w:numPr>
          <w:ilvl w:val="2"/>
          <w:numId w:val="0"/>
        </w:numPr>
        <w:spacing w:before="156" w:after="156"/>
      </w:pPr>
      <w:bookmarkStart w:id="85" w:name="_Toc194937546"/>
      <w:bookmarkStart w:id="86" w:name="_Toc191848067"/>
      <w:r>
        <w:rPr>
          <w:rFonts w:hint="eastAsia"/>
        </w:rPr>
        <w:t>5.4 施釉（色釉）</w:t>
      </w:r>
      <w:bookmarkEnd w:id="85"/>
      <w:bookmarkEnd w:id="86"/>
    </w:p>
    <w:p w14:paraId="594A0D2B">
      <w:pPr>
        <w:pStyle w:val="66"/>
        <w:numPr>
          <w:ilvl w:val="3"/>
          <w:numId w:val="0"/>
        </w:numPr>
        <w:spacing w:before="156" w:after="156"/>
      </w:pPr>
      <w:r>
        <w:rPr>
          <w:rFonts w:hint="eastAsia"/>
        </w:rPr>
        <w:t>5.4.1 环境要求</w:t>
      </w:r>
    </w:p>
    <w:p w14:paraId="08E82090">
      <w:pPr>
        <w:pStyle w:val="57"/>
      </w:pPr>
      <w:r>
        <w:rPr>
          <w:rFonts w:hint="eastAsia"/>
        </w:rPr>
        <w:t>设立独立的安全专门区域，防止与白釉交叉污染。</w:t>
      </w:r>
    </w:p>
    <w:p w14:paraId="4C35E40B">
      <w:pPr>
        <w:pStyle w:val="66"/>
        <w:numPr>
          <w:ilvl w:val="3"/>
          <w:numId w:val="0"/>
        </w:numPr>
        <w:spacing w:before="156" w:after="156"/>
      </w:pPr>
      <w:r>
        <w:rPr>
          <w:rFonts w:hint="eastAsia"/>
        </w:rPr>
        <w:t>5.4.2 操作步骤</w:t>
      </w:r>
    </w:p>
    <w:p w14:paraId="4A7A4885">
      <w:pPr>
        <w:pStyle w:val="57"/>
      </w:pPr>
      <w:r>
        <w:rPr>
          <w:rFonts w:hint="eastAsia"/>
        </w:rPr>
        <w:t>多次施釉，使釉层厚度达到1mm</w:t>
      </w:r>
      <w:r>
        <w:rPr>
          <w:rFonts w:hint="eastAsia" w:hAnsi="宋体"/>
        </w:rPr>
        <w:t>～</w:t>
      </w:r>
      <w:r>
        <w:rPr>
          <w:rFonts w:hint="eastAsia"/>
        </w:rPr>
        <w:t>1.5mm。</w:t>
      </w:r>
    </w:p>
    <w:p w14:paraId="503CFDF1">
      <w:pPr>
        <w:pStyle w:val="106"/>
        <w:numPr>
          <w:ilvl w:val="2"/>
          <w:numId w:val="0"/>
        </w:numPr>
        <w:spacing w:before="156" w:after="156"/>
      </w:pPr>
      <w:bookmarkStart w:id="87" w:name="_Toc194937547"/>
      <w:bookmarkStart w:id="88" w:name="_Toc164499574"/>
      <w:bookmarkStart w:id="89" w:name="_Toc191848068"/>
      <w:r>
        <w:rPr>
          <w:rFonts w:hint="eastAsia"/>
        </w:rPr>
        <w:t>5.5 装窑</w:t>
      </w:r>
      <w:bookmarkEnd w:id="87"/>
      <w:bookmarkEnd w:id="88"/>
      <w:bookmarkEnd w:id="89"/>
    </w:p>
    <w:p w14:paraId="4EE6E868">
      <w:pPr>
        <w:pStyle w:val="106"/>
        <w:numPr>
          <w:ilvl w:val="2"/>
          <w:numId w:val="0"/>
        </w:numPr>
        <w:spacing w:before="156" w:after="156"/>
      </w:pPr>
      <w:bookmarkStart w:id="90" w:name="_Toc194937548"/>
      <w:r>
        <w:rPr>
          <w:rFonts w:hint="eastAsia"/>
        </w:rPr>
        <w:t>5.5.1操作步骤</w:t>
      </w:r>
      <w:bookmarkEnd w:id="90"/>
    </w:p>
    <w:p w14:paraId="0B6EC02A">
      <w:pPr>
        <w:pStyle w:val="57"/>
      </w:pPr>
      <w:r>
        <w:rPr>
          <w:rFonts w:hint="eastAsia"/>
        </w:rPr>
        <w:t>装窑工艺操作步骤按下列顺序及要求执行：</w:t>
      </w:r>
    </w:p>
    <w:p w14:paraId="32CED1B1">
      <w:pPr>
        <w:pStyle w:val="175"/>
        <w:numPr>
          <w:ilvl w:val="0"/>
          <w:numId w:val="36"/>
        </w:numPr>
      </w:pPr>
      <w:r>
        <w:rPr>
          <w:rFonts w:hint="eastAsia"/>
        </w:rPr>
        <w:t>坯体准备：根据产品规格，将施釉好的、已晾干的坯体按照由小及大的顺序排列，便于装窑时由下而上分层次摆放。</w:t>
      </w:r>
    </w:p>
    <w:p w14:paraId="434F4340">
      <w:pPr>
        <w:pStyle w:val="175"/>
      </w:pPr>
      <w:r>
        <w:rPr>
          <w:rFonts w:hint="eastAsia"/>
        </w:rPr>
        <w:t>装窑车：将排列好的坯体逐个平稳放置于窑车上，保持适当间距，确保空气流通。对于口沿薄的产品，使用包装纸隔离，防止磕碰。</w:t>
      </w:r>
    </w:p>
    <w:p w14:paraId="52D3C0D2">
      <w:pPr>
        <w:pStyle w:val="175"/>
      </w:pPr>
      <w:r>
        <w:rPr>
          <w:rFonts w:hint="eastAsia"/>
        </w:rPr>
        <w:t>入窑：使用搬运车将装好的窑车送入窑炉，按照预定方案码放于窑内，确保间距适宜，利于热量流通。</w:t>
      </w:r>
    </w:p>
    <w:p w14:paraId="20991893">
      <w:pPr>
        <w:pStyle w:val="95"/>
        <w:numPr>
          <w:ilvl w:val="4"/>
          <w:numId w:val="0"/>
        </w:numPr>
        <w:spacing w:before="156" w:after="156"/>
      </w:pPr>
      <w:r>
        <w:rPr>
          <w:rFonts w:hint="eastAsia"/>
        </w:rPr>
        <w:t>5.5.2 技术要求</w:t>
      </w:r>
    </w:p>
    <w:p w14:paraId="2C50828A">
      <w:pPr>
        <w:pStyle w:val="57"/>
      </w:pPr>
      <w:r>
        <w:rPr>
          <w:rFonts w:hint="eastAsia"/>
        </w:rPr>
        <w:t>合理布局：坯体在窑车内应均匀分布，避免粘连。</w:t>
      </w:r>
    </w:p>
    <w:p w14:paraId="27ACB862">
      <w:pPr>
        <w:pStyle w:val="57"/>
      </w:pPr>
      <w:r>
        <w:rPr>
          <w:rFonts w:hint="eastAsia"/>
        </w:rPr>
        <w:t>保护措施：对于易损产品，采取有效保护措施，如使用防护垫支撑等。</w:t>
      </w:r>
    </w:p>
    <w:p w14:paraId="282A4FAF">
      <w:pPr>
        <w:pStyle w:val="95"/>
        <w:numPr>
          <w:ilvl w:val="4"/>
          <w:numId w:val="0"/>
        </w:numPr>
        <w:spacing w:before="156" w:after="156"/>
      </w:pPr>
      <w:r>
        <w:rPr>
          <w:rFonts w:hint="eastAsia"/>
        </w:rPr>
        <w:t>5.5.3 工艺参数：</w:t>
      </w:r>
    </w:p>
    <w:p w14:paraId="7A3FBC5F">
      <w:pPr>
        <w:pStyle w:val="57"/>
      </w:pPr>
      <w:r>
        <w:rPr>
          <w:rFonts w:hint="eastAsia"/>
        </w:rPr>
        <w:t>装窑密度：根据窑炉容积、坯体大小和烧成要求，合理确定装窑密度。</w:t>
      </w:r>
    </w:p>
    <w:p w14:paraId="7A2A7382">
      <w:pPr>
        <w:pStyle w:val="106"/>
        <w:numPr>
          <w:ilvl w:val="2"/>
          <w:numId w:val="0"/>
        </w:numPr>
        <w:spacing w:before="156" w:after="156"/>
      </w:pPr>
      <w:bookmarkStart w:id="91" w:name="_Toc191848069"/>
      <w:bookmarkStart w:id="92" w:name="_Toc164499581"/>
      <w:bookmarkStart w:id="93" w:name="_Toc194937549"/>
      <w:r>
        <w:rPr>
          <w:rFonts w:hint="eastAsia"/>
        </w:rPr>
        <w:t>5.6 烧制</w:t>
      </w:r>
      <w:bookmarkEnd w:id="91"/>
      <w:bookmarkEnd w:id="92"/>
      <w:bookmarkEnd w:id="93"/>
    </w:p>
    <w:p w14:paraId="499E2AC0">
      <w:pPr>
        <w:pStyle w:val="95"/>
        <w:numPr>
          <w:ilvl w:val="4"/>
          <w:numId w:val="0"/>
        </w:numPr>
        <w:spacing w:before="156" w:after="156"/>
      </w:pPr>
      <w:r>
        <w:rPr>
          <w:rFonts w:hint="eastAsia"/>
        </w:rPr>
        <w:t>5.6.1 操作步骤</w:t>
      </w:r>
    </w:p>
    <w:p w14:paraId="53DAF093">
      <w:pPr>
        <w:pStyle w:val="57"/>
      </w:pPr>
      <w:r>
        <w:rPr>
          <w:rFonts w:hint="eastAsia"/>
        </w:rPr>
        <w:t>烧制工艺操作步骤按下列顺序及要求执行：</w:t>
      </w:r>
    </w:p>
    <w:p w14:paraId="114C15AA">
      <w:pPr>
        <w:pStyle w:val="175"/>
        <w:numPr>
          <w:ilvl w:val="0"/>
          <w:numId w:val="37"/>
        </w:numPr>
      </w:pPr>
      <w:r>
        <w:rPr>
          <w:rFonts w:hint="eastAsia"/>
        </w:rPr>
        <w:t>坯体入窑：将装好的窑车稳妥缓慢送入窑炉，关闭窑门，确保密封良好。</w:t>
      </w:r>
    </w:p>
    <w:p w14:paraId="2EE7E191">
      <w:pPr>
        <w:pStyle w:val="175"/>
      </w:pPr>
      <w:bookmarkStart w:id="94" w:name="OLE_LINK7"/>
      <w:r>
        <w:rPr>
          <w:rFonts w:hint="eastAsia"/>
        </w:rPr>
        <w:t>启动设备</w:t>
      </w:r>
      <w:bookmarkEnd w:id="94"/>
      <w:r>
        <w:rPr>
          <w:rFonts w:hint="eastAsia"/>
        </w:rPr>
        <w:t>：开启燃料供应，启动温度控制系统，设定升温速率和目标温度。</w:t>
      </w:r>
    </w:p>
    <w:p w14:paraId="10C5441B">
      <w:pPr>
        <w:pStyle w:val="175"/>
      </w:pPr>
      <w:r>
        <w:rPr>
          <w:rFonts w:hint="eastAsia"/>
        </w:rPr>
        <w:t>过程监控：窑工全程巡检窑炉，观察热电偶读数，记录温度数据，根据实际情况调整烧制参数。</w:t>
      </w:r>
    </w:p>
    <w:p w14:paraId="7AD27DC5">
      <w:pPr>
        <w:pStyle w:val="175"/>
      </w:pPr>
      <w:r>
        <w:rPr>
          <w:rFonts w:hint="eastAsia"/>
        </w:rPr>
        <w:t>烧制完成：当窑内温度稳定在1300℃</w:t>
      </w:r>
      <w:r>
        <w:rPr>
          <w:rFonts w:hint="eastAsia" w:hAnsi="宋体"/>
        </w:rPr>
        <w:t>～</w:t>
      </w:r>
      <w:r>
        <w:rPr>
          <w:rFonts w:hint="eastAsia"/>
        </w:rPr>
        <w:t>1350℃并保持一段时间后，判定烧制完成。关闭天然气供应，让坯体在窑内自然冷却至室温。</w:t>
      </w:r>
    </w:p>
    <w:p w14:paraId="782FF715">
      <w:pPr>
        <w:pStyle w:val="175"/>
      </w:pPr>
      <w:r>
        <w:rPr>
          <w:rFonts w:hint="eastAsia"/>
        </w:rPr>
        <w:t>坯体出窑：佩戴耐高温手套，使用搬运车将烧制好的坯体转移至暂存区，准备进行后续工序。</w:t>
      </w:r>
    </w:p>
    <w:p w14:paraId="6326DF08">
      <w:pPr>
        <w:pStyle w:val="95"/>
        <w:numPr>
          <w:ilvl w:val="4"/>
          <w:numId w:val="0"/>
        </w:numPr>
        <w:spacing w:before="156" w:after="156"/>
      </w:pPr>
      <w:r>
        <w:rPr>
          <w:rFonts w:hint="eastAsia"/>
        </w:rPr>
        <w:t>5.6.2 技术要求</w:t>
      </w:r>
    </w:p>
    <w:p w14:paraId="6547203A">
      <w:pPr>
        <w:pStyle w:val="57"/>
      </w:pPr>
      <w:r>
        <w:rPr>
          <w:rFonts w:hint="eastAsia"/>
        </w:rPr>
        <w:t>均匀烧成：坯体各部位应均匀受热，无明显温度差异。</w:t>
      </w:r>
    </w:p>
    <w:p w14:paraId="74AC479B">
      <w:pPr>
        <w:pStyle w:val="57"/>
      </w:pPr>
      <w:r>
        <w:rPr>
          <w:rFonts w:hint="eastAsia"/>
        </w:rPr>
        <w:t>烧成质量：烧制后的坯体应具有良好的釉面效果，无釉泡、釉裂、釉色不均等缺陷，同时保证坯体结构致密、无变形、无开裂。</w:t>
      </w:r>
    </w:p>
    <w:p w14:paraId="1043ECCA">
      <w:pPr>
        <w:pStyle w:val="95"/>
        <w:numPr>
          <w:ilvl w:val="4"/>
          <w:numId w:val="0"/>
        </w:numPr>
        <w:spacing w:before="156" w:after="156"/>
      </w:pPr>
      <w:r>
        <w:rPr>
          <w:rFonts w:hint="eastAsia"/>
        </w:rPr>
        <w:t>5.6.3 工艺参数</w:t>
      </w:r>
    </w:p>
    <w:p w14:paraId="18DFAF04">
      <w:pPr>
        <w:pStyle w:val="57"/>
      </w:pPr>
      <w:r>
        <w:rPr>
          <w:rFonts w:hint="eastAsia"/>
        </w:rPr>
        <w:t>烧成温度：1300℃</w:t>
      </w:r>
      <w:bookmarkStart w:id="95" w:name="OLE_LINK19"/>
      <w:r>
        <w:rPr>
          <w:rFonts w:hint="eastAsia" w:hAnsi="宋体"/>
        </w:rPr>
        <w:t>～</w:t>
      </w:r>
      <w:bookmarkEnd w:id="95"/>
      <w:r>
        <w:rPr>
          <w:rFonts w:hint="eastAsia"/>
        </w:rPr>
        <w:t>1350℃</w:t>
      </w:r>
    </w:p>
    <w:p w14:paraId="5849F7AE">
      <w:pPr>
        <w:pStyle w:val="57"/>
      </w:pPr>
      <w:r>
        <w:rPr>
          <w:rFonts w:hint="eastAsia"/>
        </w:rPr>
        <w:t>升温速率：根据坯体大小、厚度及釉料特性。</w:t>
      </w:r>
    </w:p>
    <w:p w14:paraId="28AFB623">
      <w:pPr>
        <w:pStyle w:val="57"/>
      </w:pPr>
      <w:r>
        <w:rPr>
          <w:rFonts w:hint="eastAsia"/>
        </w:rPr>
        <w:t>保温时间：在目标温度下保持60</w:t>
      </w:r>
      <w:r>
        <w:t>h</w:t>
      </w:r>
      <w:r>
        <w:rPr>
          <w:rFonts w:hint="eastAsia" w:hAnsi="宋体"/>
        </w:rPr>
        <w:t>～</w:t>
      </w:r>
      <w:r>
        <w:rPr>
          <w:rFonts w:hint="eastAsia"/>
        </w:rPr>
        <w:t>150h，确保坯体充分烧结</w:t>
      </w:r>
    </w:p>
    <w:p w14:paraId="77EB3414">
      <w:pPr>
        <w:pStyle w:val="57"/>
      </w:pPr>
      <w:r>
        <w:rPr>
          <w:rFonts w:hint="eastAsia"/>
        </w:rPr>
        <w:t>烧制时间：根据升温速率、保温时间及冷却时间，一般为12</w:t>
      </w:r>
      <w:r>
        <w:t>h</w:t>
      </w:r>
      <w:r>
        <w:rPr>
          <w:rFonts w:hint="eastAsia" w:hAnsi="宋体"/>
        </w:rPr>
        <w:t>～</w:t>
      </w:r>
      <w:r>
        <w:rPr>
          <w:rFonts w:hint="eastAsia"/>
        </w:rPr>
        <w:t>15h左右。</w:t>
      </w:r>
    </w:p>
    <w:p w14:paraId="1539DB87">
      <w:pPr>
        <w:pStyle w:val="66"/>
        <w:numPr>
          <w:ilvl w:val="3"/>
          <w:numId w:val="0"/>
        </w:numPr>
        <w:spacing w:before="156" w:after="156"/>
      </w:pPr>
      <w:bookmarkStart w:id="96" w:name="_Toc164499587"/>
      <w:r>
        <w:rPr>
          <w:rFonts w:hint="eastAsia"/>
        </w:rPr>
        <w:t>5.6.4 监测及要求</w:t>
      </w:r>
      <w:bookmarkEnd w:id="96"/>
    </w:p>
    <w:p w14:paraId="67A7920C">
      <w:pPr>
        <w:pStyle w:val="57"/>
      </w:pPr>
      <w:r>
        <w:rPr>
          <w:rFonts w:hint="eastAsia"/>
        </w:rPr>
        <w:t>过程监控：窑工应全程记录窑炉温度数据，观察坯体烧成状况，发现异常立即调整烧制策略或上报处理。</w:t>
      </w:r>
    </w:p>
    <w:p w14:paraId="229AC58E">
      <w:pPr>
        <w:pStyle w:val="57"/>
      </w:pPr>
      <w:r>
        <w:rPr>
          <w:rFonts w:hint="eastAsia"/>
        </w:rPr>
        <w:t>质量检验：烧制完成后，随机抽取一定比例的坯体进行釉面质量、坯体结构、尺寸稳定性检查，确保符合烧制标准。对有质量问题的坯体进行统计分析，反馈至工艺改进环节。</w:t>
      </w:r>
    </w:p>
    <w:p w14:paraId="2699A158">
      <w:pPr>
        <w:pStyle w:val="106"/>
        <w:numPr>
          <w:ilvl w:val="2"/>
          <w:numId w:val="0"/>
        </w:numPr>
        <w:spacing w:before="156" w:after="156"/>
      </w:pPr>
      <w:bookmarkStart w:id="97" w:name="_Toc194937550"/>
      <w:bookmarkStart w:id="98" w:name="_Toc164499588"/>
      <w:bookmarkStart w:id="99" w:name="_Toc191848070"/>
      <w:r>
        <w:rPr>
          <w:rFonts w:hint="eastAsia"/>
        </w:rPr>
        <w:t>5.7 出窑</w:t>
      </w:r>
      <w:bookmarkEnd w:id="97"/>
      <w:bookmarkEnd w:id="98"/>
      <w:bookmarkEnd w:id="99"/>
    </w:p>
    <w:p w14:paraId="6ECF6EC1">
      <w:pPr>
        <w:pStyle w:val="66"/>
        <w:numPr>
          <w:ilvl w:val="3"/>
          <w:numId w:val="0"/>
        </w:numPr>
        <w:spacing w:before="156" w:after="156"/>
      </w:pPr>
      <w:bookmarkStart w:id="100" w:name="_Toc164499592"/>
      <w:r>
        <w:rPr>
          <w:rFonts w:hint="eastAsia"/>
        </w:rPr>
        <w:t>5.7.1 环境要求</w:t>
      </w:r>
      <w:bookmarkEnd w:id="100"/>
    </w:p>
    <w:p w14:paraId="26D8CE63">
      <w:pPr>
        <w:pStyle w:val="57"/>
      </w:pPr>
      <w:r>
        <w:rPr>
          <w:rFonts w:hint="eastAsia"/>
        </w:rPr>
        <w:t>出窑区：应保持清洁、干燥，无强风、强光干扰。设有良好的通风设施，降低粉尘浓度。</w:t>
      </w:r>
    </w:p>
    <w:p w14:paraId="66727192">
      <w:pPr>
        <w:pStyle w:val="57"/>
      </w:pPr>
      <w:r>
        <w:rPr>
          <w:rFonts w:hint="eastAsia"/>
        </w:rPr>
        <w:t>外部环境：出窑区周围应避免高温、潮湿、强电磁场等不利因素影响，确保出窑过程稳定。</w:t>
      </w:r>
    </w:p>
    <w:p w14:paraId="4F7BE46D">
      <w:pPr>
        <w:pStyle w:val="66"/>
        <w:numPr>
          <w:ilvl w:val="3"/>
          <w:numId w:val="0"/>
        </w:numPr>
        <w:spacing w:before="156" w:after="156"/>
      </w:pPr>
      <w:r>
        <w:rPr>
          <w:rFonts w:hint="eastAsia"/>
        </w:rPr>
        <w:t>5.7.2 操作步骤</w:t>
      </w:r>
    </w:p>
    <w:p w14:paraId="5EF70323">
      <w:pPr>
        <w:pStyle w:val="57"/>
      </w:pPr>
      <w:r>
        <w:rPr>
          <w:rFonts w:hint="eastAsia"/>
        </w:rPr>
        <w:t>出窑工艺操作步骤按下列顺序及要求执行：</w:t>
      </w:r>
    </w:p>
    <w:p w14:paraId="454031E0">
      <w:pPr>
        <w:pStyle w:val="175"/>
        <w:numPr>
          <w:ilvl w:val="0"/>
          <w:numId w:val="0"/>
        </w:numPr>
        <w:ind w:left="425"/>
      </w:pPr>
      <w:r>
        <w:rPr>
          <w:rFonts w:hint="eastAsia"/>
        </w:rPr>
        <w:t>a)开启窑门：</w:t>
      </w:r>
      <w:bookmarkStart w:id="101" w:name="OLE_LINK1"/>
      <w:r>
        <w:rPr>
          <w:rFonts w:hint="eastAsia"/>
        </w:rPr>
        <w:t>温度降到180℃</w:t>
      </w:r>
      <w:bookmarkEnd w:id="101"/>
      <w:r>
        <w:rPr>
          <w:rFonts w:hint="eastAsia"/>
        </w:rPr>
        <w:t>以下，穿戴好防护装备，缓慢开启窑门，释放窑内热气，避免突然降</w:t>
      </w:r>
    </w:p>
    <w:p w14:paraId="4AC64840">
      <w:pPr>
        <w:pStyle w:val="175"/>
        <w:numPr>
          <w:ilvl w:val="0"/>
          <w:numId w:val="0"/>
        </w:numPr>
      </w:pPr>
      <w:r>
        <w:rPr>
          <w:rFonts w:hint="eastAsia"/>
        </w:rPr>
        <w:t>温导致坯体开裂。</w:t>
      </w:r>
    </w:p>
    <w:p w14:paraId="33CE8BFA">
      <w:pPr>
        <w:pStyle w:val="175"/>
        <w:numPr>
          <w:ilvl w:val="0"/>
          <w:numId w:val="0"/>
        </w:numPr>
        <w:ind w:left="425"/>
      </w:pPr>
      <w:r>
        <w:rPr>
          <w:rFonts w:hint="eastAsia"/>
        </w:rPr>
        <w:t>b)出窑：温度到60℃</w:t>
      </w:r>
      <w:r>
        <w:rPr>
          <w:rFonts w:hint="eastAsia" w:hAnsi="宋体"/>
        </w:rPr>
        <w:t>～</w:t>
      </w:r>
      <w:r>
        <w:rPr>
          <w:rFonts w:hint="eastAsia"/>
        </w:rPr>
        <w:t>70℃左右时，使用搬运车将烧制好的坯体逐个平稳移出窑炉，按照产品类</w:t>
      </w:r>
    </w:p>
    <w:p w14:paraId="15DCCFAA">
      <w:pPr>
        <w:pStyle w:val="175"/>
        <w:numPr>
          <w:ilvl w:val="0"/>
          <w:numId w:val="0"/>
        </w:numPr>
      </w:pPr>
      <w:r>
        <w:rPr>
          <w:rFonts w:hint="eastAsia"/>
        </w:rPr>
        <w:t>别分类摆放，对于口沿薄的产品，使用包装纸隔离，防止磕碰。</w:t>
      </w:r>
    </w:p>
    <w:p w14:paraId="53175811">
      <w:pPr>
        <w:pStyle w:val="95"/>
        <w:numPr>
          <w:ilvl w:val="4"/>
          <w:numId w:val="0"/>
        </w:numPr>
        <w:spacing w:before="156" w:after="156"/>
      </w:pPr>
      <w:r>
        <w:rPr>
          <w:rFonts w:hint="eastAsia"/>
        </w:rPr>
        <w:t>5.7.3 技术要求</w:t>
      </w:r>
    </w:p>
    <w:p w14:paraId="419A5D91">
      <w:pPr>
        <w:pStyle w:val="57"/>
      </w:pPr>
      <w:r>
        <w:rPr>
          <w:rFonts w:hint="eastAsia"/>
        </w:rPr>
        <w:t>安全操作：遵守出窑操作规程，穿戴好防护装备，防止烫伤或其他安全事故。</w:t>
      </w:r>
    </w:p>
    <w:p w14:paraId="5A0451E6">
      <w:pPr>
        <w:pStyle w:val="57"/>
      </w:pPr>
      <w:r>
        <w:rPr>
          <w:rFonts w:hint="eastAsia"/>
        </w:rPr>
        <w:t>精细操作：对易损产品采取必要的保护措施，避免搬运过程中造成损坏。</w:t>
      </w:r>
    </w:p>
    <w:p w14:paraId="72C6D6AB">
      <w:pPr>
        <w:pStyle w:val="95"/>
        <w:numPr>
          <w:ilvl w:val="4"/>
          <w:numId w:val="0"/>
        </w:numPr>
        <w:spacing w:before="156" w:after="156"/>
      </w:pPr>
      <w:r>
        <w:rPr>
          <w:rFonts w:hint="eastAsia"/>
        </w:rPr>
        <w:t>5.7.4 工艺参数</w:t>
      </w:r>
    </w:p>
    <w:p w14:paraId="51265076">
      <w:pPr>
        <w:pStyle w:val="57"/>
      </w:pPr>
      <w:r>
        <w:rPr>
          <w:rFonts w:hint="eastAsia"/>
        </w:rPr>
        <w:t>出窑温度：窑内温度降至60℃</w:t>
      </w:r>
      <w:r>
        <w:rPr>
          <w:rFonts w:hint="eastAsia" w:hAnsi="宋体"/>
        </w:rPr>
        <w:t>～</w:t>
      </w:r>
      <w:r>
        <w:rPr>
          <w:rFonts w:hint="eastAsia"/>
        </w:rPr>
        <w:t>70℃方可出窑。</w:t>
      </w:r>
    </w:p>
    <w:p w14:paraId="45E99FE6">
      <w:pPr>
        <w:pStyle w:val="66"/>
        <w:numPr>
          <w:ilvl w:val="3"/>
          <w:numId w:val="0"/>
        </w:numPr>
        <w:spacing w:before="156" w:after="156"/>
      </w:pPr>
      <w:bookmarkStart w:id="102" w:name="_Toc164499594"/>
      <w:r>
        <w:rPr>
          <w:rFonts w:hint="eastAsia"/>
        </w:rPr>
        <w:t>5.7.5 监测及要求</w:t>
      </w:r>
      <w:bookmarkEnd w:id="102"/>
    </w:p>
    <w:p w14:paraId="2EA81D03">
      <w:pPr>
        <w:pStyle w:val="57"/>
      </w:pPr>
      <w:r>
        <w:rPr>
          <w:rFonts w:hint="eastAsia"/>
        </w:rPr>
        <w:t>过程监控：窑工应定期检查出窑质量，记录出窑参数，发现异常立即调整或上报处理。</w:t>
      </w:r>
    </w:p>
    <w:p w14:paraId="026DC97F">
      <w:pPr>
        <w:pStyle w:val="57"/>
      </w:pPr>
      <w:r>
        <w:rPr>
          <w:rFonts w:hint="eastAsia"/>
        </w:rPr>
        <w:t>质量检验：随机抽取一定比例的坯体进行出窑状态、保护措施检查，确保符合标准。对有质量问题的坯体进行统计分析，反馈至工艺改进环节。</w:t>
      </w:r>
    </w:p>
    <w:p w14:paraId="48D7B29A">
      <w:pPr>
        <w:pStyle w:val="25"/>
        <w:widowControl/>
        <w:numPr>
          <w:ilvl w:val="1"/>
          <w:numId w:val="0"/>
        </w:numPr>
        <w:adjustRightInd/>
        <w:spacing w:before="312" w:beforeLines="100" w:after="312" w:afterLines="100" w:line="240" w:lineRule="auto"/>
        <w:outlineLvl w:val="0"/>
      </w:pPr>
      <w:bookmarkStart w:id="103" w:name="_Toc194928913"/>
      <w:bookmarkStart w:id="104" w:name="_Toc193886407"/>
      <w:bookmarkStart w:id="105" w:name="_Toc194930231"/>
      <w:bookmarkStart w:id="106" w:name="_Toc194917548"/>
      <w:r>
        <w:rPr>
          <w:rFonts w:hint="eastAsia" w:ascii="黑体" w:hAnsi="Times New Roman" w:eastAsia="黑体"/>
          <w:kern w:val="0"/>
          <w:sz w:val="21"/>
          <w:szCs w:val="20"/>
          <w:lang w:bidi="ar"/>
        </w:rPr>
        <w:t>6安全与环保</w:t>
      </w:r>
      <w:bookmarkEnd w:id="103"/>
      <w:bookmarkEnd w:id="104"/>
      <w:bookmarkEnd w:id="105"/>
      <w:bookmarkEnd w:id="106"/>
    </w:p>
    <w:p w14:paraId="15EB90E5">
      <w:pPr>
        <w:pStyle w:val="25"/>
        <w:widowControl/>
        <w:numPr>
          <w:ilvl w:val="2"/>
          <w:numId w:val="0"/>
        </w:numPr>
        <w:spacing w:before="156" w:beforeLines="50" w:after="156" w:afterLines="50"/>
        <w:outlineLvl w:val="1"/>
      </w:pPr>
      <w:bookmarkStart w:id="107" w:name="_Toc194917549"/>
      <w:bookmarkStart w:id="108" w:name="_Toc194928914"/>
      <w:bookmarkStart w:id="109" w:name="_Toc193886408"/>
      <w:bookmarkStart w:id="110" w:name="_Toc194930232"/>
      <w:r>
        <w:rPr>
          <w:rFonts w:hint="eastAsia" w:ascii="黑体" w:hAnsi="Times New Roman" w:eastAsia="黑体"/>
          <w:kern w:val="0"/>
          <w:sz w:val="21"/>
          <w:szCs w:val="20"/>
          <w:lang w:bidi="ar"/>
        </w:rPr>
        <w:t>6.1 安全防护措施</w:t>
      </w:r>
      <w:bookmarkEnd w:id="107"/>
      <w:bookmarkEnd w:id="108"/>
      <w:bookmarkEnd w:id="109"/>
      <w:bookmarkEnd w:id="110"/>
    </w:p>
    <w:p w14:paraId="09226E99">
      <w:pPr>
        <w:pStyle w:val="25"/>
        <w:widowControl/>
        <w:tabs>
          <w:tab w:val="left" w:pos="851"/>
        </w:tabs>
        <w:adjustRightInd/>
        <w:spacing w:line="240" w:lineRule="auto"/>
        <w:ind w:left="425"/>
      </w:pPr>
      <w:r>
        <w:rPr>
          <w:rFonts w:hint="eastAsia" w:ascii="宋体" w:hAnsi="Times New Roman"/>
          <w:kern w:val="0"/>
          <w:sz w:val="21"/>
          <w:szCs w:val="20"/>
          <w:lang w:bidi="ar"/>
        </w:rPr>
        <w:t>操作人员个体防护装配选择按</w:t>
      </w:r>
      <w:bookmarkStart w:id="111" w:name="OLE_LINK10"/>
      <w:r>
        <w:rPr>
          <w:rFonts w:hint="eastAsia" w:ascii="宋体" w:hAnsi="Times New Roman"/>
          <w:kern w:val="0"/>
          <w:sz w:val="21"/>
          <w:szCs w:val="20"/>
          <w:lang w:bidi="ar"/>
        </w:rPr>
        <w:t>GB 39800.1</w:t>
      </w:r>
      <w:bookmarkEnd w:id="111"/>
      <w:r>
        <w:rPr>
          <w:rFonts w:hint="eastAsia" w:ascii="宋体" w:hAnsi="Times New Roman"/>
          <w:kern w:val="0"/>
          <w:sz w:val="21"/>
          <w:szCs w:val="20"/>
          <w:lang w:bidi="ar"/>
        </w:rPr>
        <w:t>和GB 39800.5执行。</w:t>
      </w:r>
    </w:p>
    <w:p w14:paraId="08F9890D">
      <w:pPr>
        <w:pStyle w:val="25"/>
        <w:widowControl/>
        <w:numPr>
          <w:ilvl w:val="2"/>
          <w:numId w:val="0"/>
        </w:numPr>
        <w:spacing w:before="156" w:beforeLines="50" w:after="156" w:afterLines="50"/>
        <w:outlineLvl w:val="1"/>
      </w:pPr>
      <w:bookmarkStart w:id="112" w:name="_Toc194917550"/>
      <w:bookmarkStart w:id="113" w:name="_Toc194930233"/>
      <w:bookmarkStart w:id="114" w:name="_Toc193886409"/>
      <w:bookmarkStart w:id="115" w:name="_Toc194928915"/>
      <w:r>
        <w:rPr>
          <w:rFonts w:hint="eastAsia" w:ascii="黑体" w:hAnsi="Times New Roman" w:eastAsia="黑体"/>
          <w:kern w:val="0"/>
          <w:sz w:val="21"/>
          <w:szCs w:val="20"/>
          <w:lang w:bidi="ar"/>
        </w:rPr>
        <w:t>6.2 卫生健康环保</w:t>
      </w:r>
      <w:bookmarkEnd w:id="112"/>
      <w:bookmarkEnd w:id="113"/>
      <w:bookmarkEnd w:id="114"/>
      <w:bookmarkEnd w:id="115"/>
    </w:p>
    <w:p w14:paraId="680B644E">
      <w:pPr>
        <w:pStyle w:val="25"/>
        <w:widowControl/>
        <w:autoSpaceDE w:val="0"/>
        <w:autoSpaceDN w:val="0"/>
        <w:adjustRightInd/>
        <w:spacing w:line="240" w:lineRule="auto"/>
        <w:ind w:firstLine="420" w:firstLineChars="200"/>
      </w:pPr>
      <w:r>
        <w:rPr>
          <w:rFonts w:hint="eastAsia" w:ascii="宋体" w:hAnsi="Times New Roman"/>
          <w:kern w:val="0"/>
          <w:sz w:val="21"/>
          <w:szCs w:val="20"/>
          <w:lang w:bidi="ar"/>
        </w:rPr>
        <w:t>企业生产过程中涉卫生健康环保等方面要求，应按下列标准执行：</w:t>
      </w:r>
    </w:p>
    <w:p w14:paraId="1813E11A">
      <w:pPr>
        <w:pStyle w:val="25"/>
        <w:widowControl/>
        <w:numPr>
          <w:ilvl w:val="0"/>
          <w:numId w:val="38"/>
        </w:numPr>
        <w:autoSpaceDE w:val="0"/>
        <w:autoSpaceDN w:val="0"/>
        <w:adjustRightInd/>
        <w:spacing w:line="240" w:lineRule="auto"/>
        <w:ind w:firstLine="420" w:firstLineChars="200"/>
      </w:pPr>
      <w:r>
        <w:rPr>
          <w:rFonts w:hint="eastAsia" w:ascii="宋体" w:hAnsi="Times New Roman"/>
          <w:kern w:val="0"/>
          <w:sz w:val="21"/>
          <w:szCs w:val="20"/>
          <w:lang w:bidi="ar"/>
        </w:rPr>
        <w:t>GB 13691 陶瓷生产防尘技术规程；</w:t>
      </w:r>
    </w:p>
    <w:p w14:paraId="4DAF50FA">
      <w:pPr>
        <w:pStyle w:val="25"/>
        <w:widowControl/>
        <w:numPr>
          <w:ilvl w:val="0"/>
          <w:numId w:val="38"/>
        </w:numPr>
        <w:autoSpaceDE w:val="0"/>
        <w:autoSpaceDN w:val="0"/>
        <w:adjustRightInd/>
        <w:spacing w:line="240" w:lineRule="auto"/>
        <w:ind w:firstLine="420" w:firstLineChars="200"/>
      </w:pPr>
      <w:r>
        <w:rPr>
          <w:rFonts w:hint="eastAsia" w:ascii="宋体" w:hAnsi="Times New Roman"/>
          <w:kern w:val="0"/>
          <w:sz w:val="21"/>
          <w:szCs w:val="20"/>
          <w:lang w:bidi="ar"/>
        </w:rPr>
        <w:t>GB 25464 陶瓷工业污染物排放标准；</w:t>
      </w:r>
    </w:p>
    <w:p w14:paraId="59C258F1">
      <w:pPr>
        <w:pStyle w:val="25"/>
        <w:widowControl/>
        <w:numPr>
          <w:ilvl w:val="0"/>
          <w:numId w:val="38"/>
        </w:numPr>
        <w:autoSpaceDE w:val="0"/>
        <w:autoSpaceDN w:val="0"/>
        <w:adjustRightInd/>
        <w:spacing w:line="240" w:lineRule="auto"/>
        <w:ind w:firstLine="420" w:firstLineChars="200"/>
      </w:pPr>
      <w:r>
        <w:rPr>
          <w:rFonts w:hint="eastAsia" w:ascii="宋体" w:hAnsi="Times New Roman"/>
          <w:kern w:val="0"/>
          <w:sz w:val="21"/>
          <w:szCs w:val="20"/>
          <w:lang w:bidi="ar"/>
        </w:rPr>
        <w:t>GB 8978  污水综合排放标准；</w:t>
      </w:r>
    </w:p>
    <w:p w14:paraId="0FDAF264">
      <w:pPr>
        <w:pStyle w:val="25"/>
        <w:widowControl/>
        <w:numPr>
          <w:ilvl w:val="0"/>
          <w:numId w:val="38"/>
        </w:numPr>
        <w:autoSpaceDE w:val="0"/>
        <w:autoSpaceDN w:val="0"/>
        <w:adjustRightInd/>
        <w:spacing w:line="240" w:lineRule="auto"/>
        <w:ind w:firstLine="420" w:firstLineChars="200"/>
      </w:pPr>
      <w:r>
        <w:rPr>
          <w:rFonts w:hint="eastAsia" w:ascii="宋体" w:hAnsi="Times New Roman"/>
          <w:kern w:val="0"/>
          <w:sz w:val="21"/>
          <w:szCs w:val="20"/>
          <w:lang w:bidi="ar"/>
        </w:rPr>
        <w:t>GB 12348 工业企业厂界环境噪声排放标准；</w:t>
      </w:r>
    </w:p>
    <w:p w14:paraId="5D919BD3">
      <w:pPr>
        <w:pStyle w:val="25"/>
        <w:widowControl/>
        <w:numPr>
          <w:ilvl w:val="0"/>
          <w:numId w:val="38"/>
        </w:numPr>
        <w:autoSpaceDE w:val="0"/>
        <w:autoSpaceDN w:val="0"/>
        <w:adjustRightInd/>
        <w:spacing w:line="240" w:lineRule="auto"/>
        <w:ind w:firstLine="420" w:firstLineChars="200"/>
      </w:pPr>
      <w:r>
        <w:rPr>
          <w:rFonts w:hint="eastAsia" w:ascii="宋体" w:hAnsi="Times New Roman"/>
          <w:kern w:val="0"/>
          <w:sz w:val="21"/>
          <w:szCs w:val="20"/>
          <w:lang w:bidi="ar"/>
        </w:rPr>
        <w:t>DB13/ 5214 陶瓷工业大气污染物排放标准。</w:t>
      </w:r>
    </w:p>
    <w:p w14:paraId="3613E204">
      <w:pPr>
        <w:pStyle w:val="25"/>
        <w:widowControl/>
        <w:numPr>
          <w:ilvl w:val="4"/>
          <w:numId w:val="0"/>
        </w:numPr>
        <w:spacing w:before="156" w:beforeLines="50" w:after="156" w:afterLines="50"/>
        <w:outlineLvl w:val="3"/>
      </w:pPr>
      <w:r>
        <w:rPr>
          <w:rFonts w:hint="eastAsia" w:ascii="黑体" w:hAnsi="Times New Roman" w:eastAsia="黑体"/>
          <w:kern w:val="0"/>
          <w:sz w:val="21"/>
          <w:szCs w:val="20"/>
          <w:lang w:bidi="ar"/>
        </w:rPr>
        <w:t>7 追溯记录</w:t>
      </w:r>
    </w:p>
    <w:p w14:paraId="33D290AA">
      <w:pPr>
        <w:pStyle w:val="25"/>
        <w:widowControl/>
        <w:autoSpaceDE w:val="0"/>
        <w:autoSpaceDN w:val="0"/>
        <w:adjustRightInd/>
        <w:spacing w:line="240" w:lineRule="auto"/>
        <w:rPr>
          <w:rFonts w:ascii="宋体" w:hAnsi="Times New Roman"/>
          <w:kern w:val="0"/>
          <w:sz w:val="21"/>
          <w:szCs w:val="20"/>
          <w:lang w:bidi="ar"/>
        </w:rPr>
      </w:pPr>
      <w:r>
        <w:rPr>
          <w:rFonts w:hint="eastAsia" w:ascii="宋体" w:hAnsi="Times New Roman"/>
          <w:kern w:val="0"/>
          <w:sz w:val="21"/>
          <w:szCs w:val="20"/>
          <w:lang w:bidi="ar"/>
        </w:rPr>
        <w:t xml:space="preserve">  定瓷施釉烧成工艺记录按附录A填写。</w:t>
      </w:r>
    </w:p>
    <w:p w14:paraId="6D9FC5E8">
      <w:pPr>
        <w:pStyle w:val="25"/>
        <w:widowControl/>
        <w:autoSpaceDE w:val="0"/>
        <w:autoSpaceDN w:val="0"/>
        <w:adjustRightInd/>
        <w:spacing w:line="240" w:lineRule="auto"/>
        <w:rPr>
          <w:rFonts w:ascii="宋体" w:hAnsi="Times New Roman"/>
          <w:kern w:val="0"/>
          <w:sz w:val="21"/>
          <w:szCs w:val="20"/>
          <w:lang w:bidi="ar"/>
        </w:rPr>
      </w:pPr>
    </w:p>
    <w:p w14:paraId="121BC01A">
      <w:pPr>
        <w:pStyle w:val="25"/>
        <w:widowControl/>
        <w:autoSpaceDE w:val="0"/>
        <w:autoSpaceDN w:val="0"/>
        <w:adjustRightInd/>
        <w:spacing w:line="240" w:lineRule="auto"/>
        <w:rPr>
          <w:rFonts w:ascii="宋体" w:hAnsi="Times New Roman"/>
          <w:kern w:val="0"/>
          <w:sz w:val="21"/>
          <w:szCs w:val="20"/>
          <w:lang w:bidi="ar"/>
        </w:rPr>
      </w:pPr>
    </w:p>
    <w:p w14:paraId="4D2937AB">
      <w:pPr>
        <w:pStyle w:val="25"/>
        <w:widowControl/>
        <w:autoSpaceDE w:val="0"/>
        <w:autoSpaceDN w:val="0"/>
        <w:adjustRightInd/>
        <w:spacing w:line="240" w:lineRule="auto"/>
        <w:rPr>
          <w:rFonts w:ascii="宋体" w:hAnsi="Times New Roman"/>
          <w:kern w:val="0"/>
          <w:sz w:val="21"/>
          <w:szCs w:val="20"/>
          <w:lang w:bidi="ar"/>
        </w:rPr>
      </w:pPr>
    </w:p>
    <w:p w14:paraId="75473489">
      <w:pPr>
        <w:pStyle w:val="25"/>
        <w:widowControl/>
        <w:autoSpaceDE w:val="0"/>
        <w:autoSpaceDN w:val="0"/>
        <w:adjustRightInd/>
        <w:spacing w:line="240" w:lineRule="auto"/>
        <w:rPr>
          <w:rFonts w:ascii="宋体" w:hAnsi="Times New Roman"/>
          <w:kern w:val="0"/>
          <w:sz w:val="21"/>
          <w:szCs w:val="20"/>
          <w:lang w:bidi="ar"/>
        </w:rPr>
      </w:pPr>
    </w:p>
    <w:p w14:paraId="6F22E8C6">
      <w:pPr>
        <w:pStyle w:val="25"/>
        <w:widowControl/>
        <w:autoSpaceDE w:val="0"/>
        <w:autoSpaceDN w:val="0"/>
        <w:adjustRightInd/>
        <w:spacing w:line="240" w:lineRule="auto"/>
        <w:rPr>
          <w:rFonts w:ascii="宋体" w:hAnsi="Times New Roman"/>
          <w:kern w:val="0"/>
          <w:sz w:val="21"/>
          <w:szCs w:val="20"/>
          <w:lang w:bidi="ar"/>
        </w:rPr>
      </w:pPr>
    </w:p>
    <w:p w14:paraId="17E8C22F">
      <w:pPr>
        <w:pStyle w:val="25"/>
        <w:widowControl/>
        <w:autoSpaceDE w:val="0"/>
        <w:autoSpaceDN w:val="0"/>
        <w:adjustRightInd/>
        <w:spacing w:line="240" w:lineRule="auto"/>
        <w:rPr>
          <w:rFonts w:ascii="宋体" w:hAnsi="Times New Roman"/>
          <w:kern w:val="0"/>
          <w:sz w:val="21"/>
          <w:szCs w:val="20"/>
          <w:lang w:bidi="ar"/>
        </w:rPr>
      </w:pPr>
    </w:p>
    <w:p w14:paraId="77F233D4">
      <w:pPr>
        <w:pStyle w:val="25"/>
        <w:widowControl/>
        <w:autoSpaceDE w:val="0"/>
        <w:autoSpaceDN w:val="0"/>
        <w:adjustRightInd/>
        <w:spacing w:line="240" w:lineRule="auto"/>
        <w:rPr>
          <w:rFonts w:ascii="宋体" w:hAnsi="Times New Roman"/>
          <w:kern w:val="0"/>
          <w:sz w:val="21"/>
          <w:szCs w:val="20"/>
          <w:lang w:bidi="ar"/>
        </w:rPr>
      </w:pPr>
    </w:p>
    <w:p w14:paraId="2A9DD58C">
      <w:pPr>
        <w:pStyle w:val="25"/>
        <w:widowControl/>
        <w:autoSpaceDE w:val="0"/>
        <w:autoSpaceDN w:val="0"/>
        <w:adjustRightInd/>
        <w:spacing w:line="240" w:lineRule="auto"/>
        <w:rPr>
          <w:rFonts w:ascii="宋体" w:hAnsi="Times New Roman"/>
          <w:kern w:val="0"/>
          <w:sz w:val="21"/>
          <w:szCs w:val="20"/>
          <w:lang w:bidi="ar"/>
        </w:rPr>
      </w:pPr>
    </w:p>
    <w:p w14:paraId="7552D605">
      <w:pPr>
        <w:pStyle w:val="25"/>
        <w:widowControl/>
        <w:autoSpaceDE w:val="0"/>
        <w:autoSpaceDN w:val="0"/>
        <w:adjustRightInd/>
        <w:spacing w:line="240" w:lineRule="auto"/>
        <w:rPr>
          <w:rFonts w:ascii="宋体" w:hAnsi="Times New Roman"/>
          <w:kern w:val="0"/>
          <w:sz w:val="21"/>
          <w:szCs w:val="20"/>
          <w:lang w:bidi="ar"/>
        </w:rPr>
      </w:pPr>
    </w:p>
    <w:p w14:paraId="2C7894F3">
      <w:pPr>
        <w:pStyle w:val="25"/>
        <w:widowControl/>
        <w:autoSpaceDE w:val="0"/>
        <w:autoSpaceDN w:val="0"/>
        <w:adjustRightInd/>
        <w:spacing w:line="240" w:lineRule="auto"/>
        <w:rPr>
          <w:rFonts w:ascii="宋体" w:hAnsi="Times New Roman"/>
          <w:kern w:val="0"/>
          <w:sz w:val="21"/>
          <w:szCs w:val="20"/>
          <w:lang w:bidi="ar"/>
        </w:rPr>
      </w:pPr>
    </w:p>
    <w:p w14:paraId="7E3C6392">
      <w:pPr>
        <w:pStyle w:val="25"/>
        <w:widowControl/>
        <w:autoSpaceDE w:val="0"/>
        <w:autoSpaceDN w:val="0"/>
        <w:adjustRightInd/>
        <w:spacing w:line="240" w:lineRule="auto"/>
        <w:rPr>
          <w:rFonts w:ascii="宋体" w:hAnsi="Times New Roman"/>
          <w:kern w:val="0"/>
          <w:sz w:val="21"/>
          <w:szCs w:val="20"/>
          <w:lang w:bidi="ar"/>
        </w:rPr>
      </w:pPr>
    </w:p>
    <w:p w14:paraId="68C2ACB7">
      <w:pPr>
        <w:pStyle w:val="25"/>
        <w:widowControl/>
        <w:autoSpaceDE w:val="0"/>
        <w:autoSpaceDN w:val="0"/>
        <w:adjustRightInd/>
        <w:spacing w:line="240" w:lineRule="auto"/>
        <w:rPr>
          <w:rFonts w:ascii="宋体" w:hAnsi="Times New Roman"/>
          <w:kern w:val="0"/>
          <w:sz w:val="21"/>
          <w:szCs w:val="20"/>
          <w:lang w:bidi="ar"/>
        </w:rPr>
      </w:pPr>
    </w:p>
    <w:p w14:paraId="72FA6A1A">
      <w:pPr>
        <w:pStyle w:val="25"/>
        <w:widowControl/>
        <w:autoSpaceDE w:val="0"/>
        <w:autoSpaceDN w:val="0"/>
        <w:adjustRightInd/>
        <w:spacing w:line="240" w:lineRule="auto"/>
        <w:rPr>
          <w:rFonts w:ascii="宋体" w:hAnsi="Times New Roman"/>
          <w:kern w:val="0"/>
          <w:sz w:val="21"/>
          <w:szCs w:val="20"/>
          <w:lang w:bidi="ar"/>
        </w:rPr>
      </w:pPr>
    </w:p>
    <w:p w14:paraId="711A84B8">
      <w:pPr>
        <w:pStyle w:val="25"/>
        <w:widowControl/>
        <w:autoSpaceDE w:val="0"/>
        <w:autoSpaceDN w:val="0"/>
        <w:adjustRightInd/>
        <w:spacing w:line="240" w:lineRule="auto"/>
        <w:rPr>
          <w:rFonts w:ascii="宋体" w:hAnsi="Times New Roman"/>
          <w:kern w:val="0"/>
          <w:sz w:val="21"/>
          <w:szCs w:val="20"/>
          <w:lang w:bidi="ar"/>
        </w:rPr>
      </w:pPr>
    </w:p>
    <w:p w14:paraId="005D2801">
      <w:pPr>
        <w:pStyle w:val="25"/>
        <w:widowControl/>
        <w:autoSpaceDE w:val="0"/>
        <w:autoSpaceDN w:val="0"/>
        <w:adjustRightInd/>
        <w:spacing w:line="240" w:lineRule="auto"/>
        <w:rPr>
          <w:rFonts w:ascii="宋体" w:hAnsi="Times New Roman"/>
          <w:kern w:val="0"/>
          <w:sz w:val="21"/>
          <w:szCs w:val="20"/>
          <w:lang w:bidi="ar"/>
        </w:rPr>
      </w:pPr>
    </w:p>
    <w:p w14:paraId="37D369E2">
      <w:pPr>
        <w:pStyle w:val="25"/>
        <w:widowControl/>
        <w:autoSpaceDE w:val="0"/>
        <w:autoSpaceDN w:val="0"/>
        <w:adjustRightInd/>
        <w:spacing w:line="240" w:lineRule="auto"/>
        <w:rPr>
          <w:rFonts w:ascii="宋体" w:hAnsi="Times New Roman"/>
          <w:kern w:val="0"/>
          <w:sz w:val="21"/>
          <w:szCs w:val="20"/>
          <w:lang w:bidi="ar"/>
        </w:rPr>
      </w:pPr>
    </w:p>
    <w:p w14:paraId="73CCB46F">
      <w:pPr>
        <w:pStyle w:val="25"/>
        <w:widowControl/>
        <w:autoSpaceDE w:val="0"/>
        <w:autoSpaceDN w:val="0"/>
        <w:adjustRightInd/>
        <w:spacing w:line="240" w:lineRule="auto"/>
        <w:rPr>
          <w:rFonts w:ascii="宋体" w:hAnsi="Times New Roman"/>
          <w:kern w:val="0"/>
          <w:sz w:val="21"/>
          <w:szCs w:val="20"/>
          <w:lang w:bidi="ar"/>
        </w:rPr>
      </w:pPr>
    </w:p>
    <w:p w14:paraId="6FA97257">
      <w:pPr>
        <w:pStyle w:val="25"/>
        <w:widowControl/>
        <w:autoSpaceDE w:val="0"/>
        <w:autoSpaceDN w:val="0"/>
        <w:adjustRightInd/>
        <w:spacing w:line="240" w:lineRule="auto"/>
        <w:rPr>
          <w:rFonts w:ascii="宋体" w:hAnsi="Times New Roman"/>
          <w:kern w:val="0"/>
          <w:sz w:val="21"/>
          <w:szCs w:val="20"/>
          <w:lang w:bidi="ar"/>
        </w:rPr>
      </w:pPr>
    </w:p>
    <w:p w14:paraId="0426F936">
      <w:pPr>
        <w:pStyle w:val="25"/>
        <w:widowControl/>
        <w:autoSpaceDE w:val="0"/>
        <w:autoSpaceDN w:val="0"/>
        <w:adjustRightInd/>
        <w:spacing w:line="240" w:lineRule="auto"/>
        <w:rPr>
          <w:rFonts w:ascii="宋体" w:hAnsi="Times New Roman"/>
          <w:kern w:val="0"/>
          <w:sz w:val="21"/>
          <w:szCs w:val="20"/>
          <w:lang w:bidi="ar"/>
        </w:rPr>
      </w:pPr>
    </w:p>
    <w:p w14:paraId="12750783">
      <w:pPr>
        <w:pStyle w:val="25"/>
        <w:widowControl/>
        <w:autoSpaceDE w:val="0"/>
        <w:autoSpaceDN w:val="0"/>
        <w:adjustRightInd/>
        <w:spacing w:line="240" w:lineRule="auto"/>
        <w:rPr>
          <w:rFonts w:ascii="宋体" w:hAnsi="Times New Roman"/>
          <w:kern w:val="0"/>
          <w:sz w:val="21"/>
          <w:szCs w:val="20"/>
          <w:lang w:bidi="ar"/>
        </w:rPr>
      </w:pPr>
    </w:p>
    <w:p w14:paraId="718D75B7">
      <w:pPr>
        <w:pStyle w:val="25"/>
        <w:widowControl/>
        <w:autoSpaceDE w:val="0"/>
        <w:autoSpaceDN w:val="0"/>
        <w:adjustRightInd/>
        <w:spacing w:line="240" w:lineRule="auto"/>
        <w:rPr>
          <w:rFonts w:ascii="宋体" w:hAnsi="Times New Roman"/>
          <w:kern w:val="0"/>
          <w:sz w:val="21"/>
          <w:szCs w:val="20"/>
          <w:lang w:bidi="ar"/>
        </w:rPr>
      </w:pPr>
    </w:p>
    <w:p w14:paraId="3F843C55">
      <w:pPr>
        <w:pStyle w:val="25"/>
        <w:widowControl/>
        <w:autoSpaceDE w:val="0"/>
        <w:autoSpaceDN w:val="0"/>
        <w:adjustRightInd/>
        <w:spacing w:line="240" w:lineRule="auto"/>
        <w:rPr>
          <w:rFonts w:ascii="宋体" w:hAnsi="Times New Roman"/>
          <w:kern w:val="0"/>
          <w:sz w:val="21"/>
          <w:szCs w:val="20"/>
          <w:lang w:bidi="ar"/>
        </w:rPr>
      </w:pPr>
    </w:p>
    <w:p w14:paraId="2DC0D80E">
      <w:pPr>
        <w:pStyle w:val="25"/>
        <w:widowControl/>
        <w:autoSpaceDE w:val="0"/>
        <w:autoSpaceDN w:val="0"/>
        <w:adjustRightInd/>
        <w:spacing w:line="240" w:lineRule="auto"/>
        <w:rPr>
          <w:rFonts w:ascii="宋体" w:hAnsi="Times New Roman"/>
          <w:kern w:val="0"/>
          <w:sz w:val="21"/>
          <w:szCs w:val="20"/>
          <w:lang w:bidi="ar"/>
        </w:rPr>
      </w:pPr>
    </w:p>
    <w:p w14:paraId="3E6F0230">
      <w:pPr>
        <w:pStyle w:val="25"/>
        <w:widowControl/>
        <w:autoSpaceDE w:val="0"/>
        <w:autoSpaceDN w:val="0"/>
        <w:adjustRightInd/>
        <w:spacing w:line="240" w:lineRule="auto"/>
        <w:rPr>
          <w:rFonts w:ascii="宋体" w:hAnsi="Times New Roman"/>
          <w:kern w:val="0"/>
          <w:sz w:val="21"/>
          <w:szCs w:val="20"/>
          <w:lang w:bidi="ar"/>
        </w:rPr>
      </w:pPr>
    </w:p>
    <w:p w14:paraId="694825E0">
      <w:pPr>
        <w:pStyle w:val="25"/>
        <w:widowControl/>
        <w:autoSpaceDE w:val="0"/>
        <w:autoSpaceDN w:val="0"/>
        <w:adjustRightInd/>
        <w:spacing w:line="240" w:lineRule="auto"/>
        <w:rPr>
          <w:rFonts w:ascii="宋体" w:hAnsi="Times New Roman"/>
          <w:kern w:val="0"/>
          <w:sz w:val="21"/>
          <w:szCs w:val="20"/>
          <w:lang w:bidi="ar"/>
        </w:rPr>
      </w:pPr>
    </w:p>
    <w:p w14:paraId="4B8D5151">
      <w:pPr>
        <w:pStyle w:val="25"/>
        <w:widowControl/>
        <w:autoSpaceDE w:val="0"/>
        <w:autoSpaceDN w:val="0"/>
        <w:adjustRightInd/>
        <w:spacing w:line="240" w:lineRule="auto"/>
        <w:rPr>
          <w:rFonts w:ascii="宋体" w:hAnsi="Times New Roman"/>
          <w:kern w:val="0"/>
          <w:sz w:val="21"/>
          <w:szCs w:val="20"/>
          <w:lang w:bidi="ar"/>
        </w:rPr>
      </w:pPr>
    </w:p>
    <w:p w14:paraId="04988CAF">
      <w:pPr>
        <w:pStyle w:val="25"/>
        <w:widowControl/>
        <w:autoSpaceDE w:val="0"/>
        <w:autoSpaceDN w:val="0"/>
        <w:adjustRightInd/>
        <w:spacing w:line="240" w:lineRule="auto"/>
        <w:rPr>
          <w:rFonts w:ascii="宋体" w:hAnsi="Times New Roman"/>
          <w:kern w:val="0"/>
          <w:sz w:val="21"/>
          <w:szCs w:val="20"/>
          <w:lang w:bidi="ar"/>
        </w:rPr>
      </w:pPr>
    </w:p>
    <w:p w14:paraId="38CDF4EA">
      <w:pPr>
        <w:pStyle w:val="25"/>
        <w:widowControl/>
        <w:autoSpaceDE w:val="0"/>
        <w:autoSpaceDN w:val="0"/>
        <w:adjustRightInd/>
        <w:spacing w:line="240" w:lineRule="auto"/>
        <w:rPr>
          <w:rFonts w:hint="eastAsia" w:ascii="宋体" w:hAnsi="Times New Roman"/>
          <w:kern w:val="0"/>
          <w:sz w:val="21"/>
          <w:szCs w:val="20"/>
          <w:lang w:bidi="ar"/>
        </w:rPr>
      </w:pPr>
    </w:p>
    <w:p w14:paraId="3004A219">
      <w:pPr>
        <w:pStyle w:val="25"/>
        <w:widowControl/>
        <w:numPr>
          <w:ilvl w:val="0"/>
          <w:numId w:val="39"/>
        </w:numPr>
        <w:shd w:val="clear" w:color="auto" w:fill="FFFFFF"/>
        <w:tabs>
          <w:tab w:val="left" w:pos="6406"/>
        </w:tabs>
        <w:adjustRightInd/>
        <w:spacing w:before="560" w:after="156" w:afterLines="50" w:line="240" w:lineRule="auto"/>
        <w:jc w:val="center"/>
        <w:outlineLvl w:val="0"/>
      </w:pPr>
      <w:r>
        <w:rPr>
          <w:rFonts w:hint="eastAsia" w:ascii="黑体" w:hAnsi="Times New Roman" w:eastAsia="黑体"/>
          <w:kern w:val="0"/>
          <w:sz w:val="21"/>
          <w:szCs w:val="20"/>
          <w:lang w:bidi="ar"/>
        </w:rPr>
        <w:br w:type="textWrapping"/>
      </w:r>
      <w:bookmarkStart w:id="116" w:name="_Toc194928916"/>
      <w:bookmarkStart w:id="117" w:name="_Toc194917551"/>
      <w:bookmarkStart w:id="118" w:name="_Toc193886413"/>
      <w:bookmarkStart w:id="119" w:name="_Toc194930234"/>
      <w:r>
        <w:rPr>
          <w:rFonts w:hint="eastAsia" w:ascii="黑体" w:hAnsi="Times New Roman" w:eastAsia="黑体"/>
          <w:kern w:val="0"/>
          <w:sz w:val="21"/>
          <w:szCs w:val="20"/>
          <w:lang w:bidi="ar"/>
        </w:rPr>
        <w:t>（资料性）</w:t>
      </w:r>
      <w:r>
        <w:rPr>
          <w:rFonts w:hint="eastAsia" w:ascii="黑体" w:hAnsi="Times New Roman" w:eastAsia="黑体"/>
          <w:kern w:val="0"/>
          <w:sz w:val="21"/>
          <w:szCs w:val="20"/>
          <w:lang w:bidi="ar"/>
        </w:rPr>
        <w:br w:type="textWrapping"/>
      </w:r>
      <w:r>
        <w:rPr>
          <w:rFonts w:hint="eastAsia" w:ascii="黑体" w:hAnsi="Times New Roman" w:eastAsia="黑体"/>
          <w:kern w:val="0"/>
          <w:sz w:val="21"/>
          <w:szCs w:val="20"/>
          <w:lang w:bidi="ar"/>
        </w:rPr>
        <w:t>定瓷施釉烧成工艺记录表</w:t>
      </w:r>
      <w:bookmarkEnd w:id="116"/>
      <w:bookmarkEnd w:id="117"/>
      <w:bookmarkEnd w:id="118"/>
      <w:bookmarkEnd w:id="119"/>
    </w:p>
    <w:tbl>
      <w:tblPr>
        <w:tblStyle w:val="27"/>
        <w:tblW w:w="9266" w:type="dxa"/>
        <w:tblInd w:w="98"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462"/>
        <w:gridCol w:w="2951"/>
        <w:gridCol w:w="1120"/>
        <w:gridCol w:w="1240"/>
        <w:gridCol w:w="1180"/>
        <w:gridCol w:w="1313"/>
      </w:tblGrid>
      <w:tr w14:paraId="29144D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462" w:type="dxa"/>
            <w:tcBorders>
              <w:top w:val="single" w:color="auto" w:sz="8" w:space="0"/>
              <w:left w:val="single" w:color="auto" w:sz="8" w:space="0"/>
              <w:bottom w:val="single" w:color="auto" w:sz="8" w:space="0"/>
              <w:right w:val="single" w:color="auto" w:sz="4" w:space="0"/>
            </w:tcBorders>
            <w:shd w:val="clear" w:color="auto" w:fill="auto"/>
            <w:vAlign w:val="center"/>
          </w:tcPr>
          <w:p w14:paraId="3CCB78D7">
            <w:pPr>
              <w:spacing w:line="240" w:lineRule="auto"/>
              <w:jc w:val="center"/>
              <w:rPr>
                <w:sz w:val="18"/>
              </w:rPr>
            </w:pPr>
            <w:r>
              <w:rPr>
                <w:rFonts w:hint="eastAsia" w:ascii="宋体" w:hAnsi="宋体" w:cs="宋体"/>
                <w:b/>
                <w:bCs/>
                <w:sz w:val="18"/>
                <w:lang w:bidi="ar"/>
              </w:rPr>
              <w:t>项目</w:t>
            </w:r>
          </w:p>
        </w:tc>
        <w:tc>
          <w:tcPr>
            <w:tcW w:w="2951" w:type="dxa"/>
            <w:tcBorders>
              <w:top w:val="single" w:color="auto" w:sz="8" w:space="0"/>
              <w:left w:val="single" w:color="auto" w:sz="4" w:space="0"/>
              <w:bottom w:val="single" w:color="auto" w:sz="8" w:space="0"/>
              <w:right w:val="single" w:color="auto" w:sz="4" w:space="0"/>
            </w:tcBorders>
            <w:shd w:val="clear" w:color="auto" w:fill="auto"/>
            <w:vAlign w:val="center"/>
          </w:tcPr>
          <w:p w14:paraId="64E7AF30">
            <w:pPr>
              <w:spacing w:line="240" w:lineRule="auto"/>
              <w:jc w:val="center"/>
              <w:rPr>
                <w:sz w:val="18"/>
              </w:rPr>
            </w:pPr>
            <w:r>
              <w:rPr>
                <w:rFonts w:hint="eastAsia" w:ascii="宋体" w:hAnsi="宋体" w:cs="宋体"/>
                <w:b/>
                <w:bCs/>
                <w:sz w:val="18"/>
                <w:lang w:bidi="ar"/>
              </w:rPr>
              <w:t>内容</w:t>
            </w:r>
          </w:p>
        </w:tc>
        <w:tc>
          <w:tcPr>
            <w:tcW w:w="1120" w:type="dxa"/>
            <w:tcBorders>
              <w:top w:val="single" w:color="auto" w:sz="8" w:space="0"/>
              <w:left w:val="single" w:color="auto" w:sz="4" w:space="0"/>
              <w:bottom w:val="single" w:color="auto" w:sz="8" w:space="0"/>
              <w:right w:val="single" w:color="auto" w:sz="4" w:space="0"/>
            </w:tcBorders>
            <w:shd w:val="clear" w:color="auto" w:fill="auto"/>
            <w:vAlign w:val="center"/>
          </w:tcPr>
          <w:p w14:paraId="2738B189">
            <w:pPr>
              <w:spacing w:line="240" w:lineRule="auto"/>
              <w:jc w:val="center"/>
              <w:rPr>
                <w:sz w:val="18"/>
              </w:rPr>
            </w:pPr>
            <w:r>
              <w:rPr>
                <w:rFonts w:hint="eastAsia" w:ascii="宋体" w:hAnsi="宋体" w:cs="宋体"/>
                <w:b/>
                <w:bCs/>
                <w:sz w:val="18"/>
                <w:lang w:bidi="ar"/>
              </w:rPr>
              <w:t>时间</w:t>
            </w:r>
          </w:p>
        </w:tc>
        <w:tc>
          <w:tcPr>
            <w:tcW w:w="1240" w:type="dxa"/>
            <w:tcBorders>
              <w:top w:val="single" w:color="auto" w:sz="8" w:space="0"/>
              <w:left w:val="single" w:color="auto" w:sz="4" w:space="0"/>
              <w:bottom w:val="single" w:color="auto" w:sz="8" w:space="0"/>
              <w:right w:val="single" w:color="auto" w:sz="4" w:space="0"/>
            </w:tcBorders>
            <w:shd w:val="clear" w:color="auto" w:fill="auto"/>
            <w:vAlign w:val="center"/>
          </w:tcPr>
          <w:p w14:paraId="44FF9A3A">
            <w:pPr>
              <w:spacing w:line="240" w:lineRule="auto"/>
              <w:jc w:val="center"/>
              <w:rPr>
                <w:rFonts w:ascii="宋体" w:hAnsi="宋体" w:cs="宋体"/>
                <w:b/>
                <w:bCs/>
                <w:sz w:val="18"/>
              </w:rPr>
            </w:pPr>
            <w:r>
              <w:rPr>
                <w:rFonts w:hint="eastAsia" w:ascii="宋体" w:hAnsi="宋体" w:cs="宋体"/>
                <w:b/>
                <w:bCs/>
                <w:sz w:val="18"/>
                <w:lang w:bidi="ar"/>
              </w:rPr>
              <w:t>操作工签字</w:t>
            </w:r>
          </w:p>
        </w:tc>
        <w:tc>
          <w:tcPr>
            <w:tcW w:w="1180" w:type="dxa"/>
            <w:tcBorders>
              <w:top w:val="single" w:color="auto" w:sz="8" w:space="0"/>
              <w:left w:val="single" w:color="auto" w:sz="4" w:space="0"/>
              <w:bottom w:val="single" w:color="auto" w:sz="8" w:space="0"/>
              <w:right w:val="single" w:color="auto" w:sz="4" w:space="0"/>
            </w:tcBorders>
            <w:shd w:val="clear" w:color="auto" w:fill="auto"/>
            <w:vAlign w:val="center"/>
          </w:tcPr>
          <w:p w14:paraId="1CCC8B86">
            <w:pPr>
              <w:spacing w:line="240" w:lineRule="auto"/>
              <w:jc w:val="center"/>
              <w:rPr>
                <w:rFonts w:ascii="宋体" w:hAnsi="宋体" w:cs="宋体"/>
                <w:b/>
                <w:bCs/>
                <w:sz w:val="18"/>
              </w:rPr>
            </w:pPr>
            <w:r>
              <w:rPr>
                <w:rFonts w:hint="eastAsia" w:ascii="宋体" w:hAnsi="宋体" w:cs="宋体"/>
                <w:b/>
                <w:bCs/>
                <w:sz w:val="18"/>
                <w:lang w:bidi="ar"/>
              </w:rPr>
              <w:t>质量情况</w:t>
            </w:r>
          </w:p>
        </w:tc>
        <w:tc>
          <w:tcPr>
            <w:tcW w:w="1313" w:type="dxa"/>
            <w:tcBorders>
              <w:top w:val="single" w:color="auto" w:sz="8" w:space="0"/>
              <w:left w:val="single" w:color="auto" w:sz="4" w:space="0"/>
              <w:bottom w:val="single" w:color="auto" w:sz="8" w:space="0"/>
              <w:right w:val="single" w:color="auto" w:sz="8" w:space="0"/>
            </w:tcBorders>
            <w:shd w:val="clear" w:color="auto" w:fill="auto"/>
            <w:vAlign w:val="center"/>
          </w:tcPr>
          <w:p w14:paraId="6E114F18">
            <w:pPr>
              <w:spacing w:line="240" w:lineRule="auto"/>
              <w:jc w:val="center"/>
              <w:rPr>
                <w:rFonts w:ascii="宋体" w:hAnsi="宋体" w:cs="宋体"/>
                <w:b/>
                <w:bCs/>
                <w:sz w:val="18"/>
              </w:rPr>
            </w:pPr>
            <w:r>
              <w:rPr>
                <w:rFonts w:hint="eastAsia" w:ascii="宋体" w:hAnsi="宋体" w:cs="宋体"/>
                <w:b/>
                <w:bCs/>
                <w:sz w:val="18"/>
                <w:lang w:bidi="ar"/>
              </w:rPr>
              <w:t>质检员签字</w:t>
            </w:r>
          </w:p>
        </w:tc>
      </w:tr>
      <w:tr w14:paraId="66544B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462" w:type="dxa"/>
            <w:tcBorders>
              <w:top w:val="single" w:color="auto" w:sz="8" w:space="0"/>
              <w:left w:val="single" w:color="auto" w:sz="8" w:space="0"/>
              <w:bottom w:val="single" w:color="auto" w:sz="4" w:space="0"/>
              <w:right w:val="single" w:color="auto" w:sz="4" w:space="0"/>
            </w:tcBorders>
            <w:shd w:val="clear" w:color="auto" w:fill="auto"/>
            <w:vAlign w:val="center"/>
          </w:tcPr>
          <w:p w14:paraId="0AEDCBB2">
            <w:pPr>
              <w:spacing w:line="240" w:lineRule="auto"/>
              <w:jc w:val="left"/>
              <w:rPr>
                <w:sz w:val="18"/>
              </w:rPr>
            </w:pPr>
            <w:r>
              <w:rPr>
                <w:rFonts w:hint="eastAsia" w:ascii="宋体" w:hAnsi="宋体" w:cs="宋体"/>
                <w:b/>
                <w:bCs/>
                <w:sz w:val="18"/>
                <w:lang w:bidi="ar"/>
              </w:rPr>
              <w:t>文件编号</w:t>
            </w:r>
          </w:p>
        </w:tc>
        <w:tc>
          <w:tcPr>
            <w:tcW w:w="2951" w:type="dxa"/>
            <w:tcBorders>
              <w:top w:val="single" w:color="auto" w:sz="8" w:space="0"/>
              <w:left w:val="single" w:color="auto" w:sz="4" w:space="0"/>
              <w:bottom w:val="single" w:color="auto" w:sz="4" w:space="0"/>
              <w:right w:val="single" w:color="auto" w:sz="4" w:space="0"/>
            </w:tcBorders>
            <w:shd w:val="clear" w:color="auto" w:fill="auto"/>
            <w:vAlign w:val="center"/>
          </w:tcPr>
          <w:p w14:paraId="5FAC14DF">
            <w:pPr>
              <w:spacing w:line="240" w:lineRule="auto"/>
              <w:jc w:val="left"/>
              <w:rPr>
                <w:sz w:val="18"/>
              </w:rPr>
            </w:pPr>
            <w:r>
              <w:rPr>
                <w:sz w:val="18"/>
                <w:lang w:bidi="ar"/>
              </w:rPr>
              <w:t>DC-YPCX-xxx</w:t>
            </w:r>
          </w:p>
        </w:tc>
        <w:tc>
          <w:tcPr>
            <w:tcW w:w="1120" w:type="dxa"/>
            <w:tcBorders>
              <w:top w:val="single" w:color="auto" w:sz="8" w:space="0"/>
              <w:left w:val="single" w:color="auto" w:sz="4" w:space="0"/>
              <w:bottom w:val="single" w:color="auto" w:sz="4" w:space="0"/>
              <w:right w:val="single" w:color="auto" w:sz="4" w:space="0"/>
            </w:tcBorders>
            <w:shd w:val="clear" w:color="auto" w:fill="auto"/>
            <w:vAlign w:val="center"/>
          </w:tcPr>
          <w:p w14:paraId="67A9AB77">
            <w:pPr>
              <w:spacing w:line="240" w:lineRule="auto"/>
              <w:jc w:val="left"/>
              <w:rPr>
                <w:sz w:val="18"/>
              </w:rPr>
            </w:pPr>
          </w:p>
        </w:tc>
        <w:tc>
          <w:tcPr>
            <w:tcW w:w="1240" w:type="dxa"/>
            <w:tcBorders>
              <w:top w:val="single" w:color="auto" w:sz="8" w:space="0"/>
              <w:left w:val="single" w:color="auto" w:sz="4" w:space="0"/>
              <w:bottom w:val="single" w:color="auto" w:sz="4" w:space="0"/>
              <w:right w:val="single" w:color="auto" w:sz="4" w:space="0"/>
            </w:tcBorders>
            <w:shd w:val="clear" w:color="auto" w:fill="auto"/>
            <w:vAlign w:val="center"/>
          </w:tcPr>
          <w:p w14:paraId="7323E91E">
            <w:pPr>
              <w:spacing w:line="240" w:lineRule="auto"/>
              <w:jc w:val="left"/>
              <w:rPr>
                <w:rFonts w:ascii="宋体" w:hAnsi="宋体" w:cs="宋体"/>
                <w:sz w:val="18"/>
              </w:rPr>
            </w:pPr>
          </w:p>
        </w:tc>
        <w:tc>
          <w:tcPr>
            <w:tcW w:w="1180" w:type="dxa"/>
            <w:tcBorders>
              <w:top w:val="single" w:color="auto" w:sz="8" w:space="0"/>
              <w:left w:val="single" w:color="auto" w:sz="4" w:space="0"/>
              <w:bottom w:val="single" w:color="auto" w:sz="4" w:space="0"/>
              <w:right w:val="single" w:color="auto" w:sz="4" w:space="0"/>
            </w:tcBorders>
            <w:shd w:val="clear" w:color="auto" w:fill="auto"/>
            <w:vAlign w:val="center"/>
          </w:tcPr>
          <w:p w14:paraId="43B30B86">
            <w:pPr>
              <w:spacing w:line="240" w:lineRule="auto"/>
              <w:jc w:val="left"/>
              <w:rPr>
                <w:rFonts w:ascii="宋体" w:hAnsi="宋体" w:cs="宋体"/>
                <w:sz w:val="18"/>
              </w:rPr>
            </w:pPr>
          </w:p>
        </w:tc>
        <w:tc>
          <w:tcPr>
            <w:tcW w:w="1313" w:type="dxa"/>
            <w:tcBorders>
              <w:top w:val="single" w:color="auto" w:sz="8" w:space="0"/>
              <w:left w:val="single" w:color="auto" w:sz="4" w:space="0"/>
              <w:bottom w:val="single" w:color="auto" w:sz="4" w:space="0"/>
              <w:right w:val="single" w:color="auto" w:sz="8" w:space="0"/>
            </w:tcBorders>
            <w:shd w:val="clear" w:color="auto" w:fill="auto"/>
            <w:vAlign w:val="center"/>
          </w:tcPr>
          <w:p w14:paraId="46CDF59C">
            <w:pPr>
              <w:spacing w:line="240" w:lineRule="auto"/>
              <w:jc w:val="left"/>
              <w:rPr>
                <w:rFonts w:ascii="宋体" w:hAnsi="宋体" w:cs="宋体"/>
                <w:sz w:val="18"/>
              </w:rPr>
            </w:pPr>
          </w:p>
        </w:tc>
      </w:tr>
      <w:tr w14:paraId="1CF609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462" w:type="dxa"/>
            <w:tcBorders>
              <w:top w:val="single" w:color="auto" w:sz="4" w:space="0"/>
              <w:left w:val="single" w:color="auto" w:sz="8" w:space="0"/>
              <w:bottom w:val="single" w:color="auto" w:sz="4" w:space="0"/>
              <w:right w:val="single" w:color="auto" w:sz="4" w:space="0"/>
            </w:tcBorders>
            <w:shd w:val="clear" w:color="auto" w:fill="auto"/>
            <w:vAlign w:val="center"/>
          </w:tcPr>
          <w:p w14:paraId="4ACEE77E">
            <w:pPr>
              <w:spacing w:line="240" w:lineRule="auto"/>
              <w:jc w:val="left"/>
              <w:rPr>
                <w:b/>
                <w:bCs/>
                <w:sz w:val="18"/>
              </w:rPr>
            </w:pPr>
            <w:r>
              <w:rPr>
                <w:rFonts w:hint="eastAsia"/>
                <w:b/>
                <w:bCs/>
                <w:sz w:val="18"/>
              </w:rPr>
              <w:t>窑炉燃料</w:t>
            </w:r>
          </w:p>
        </w:tc>
        <w:tc>
          <w:tcPr>
            <w:tcW w:w="2951" w:type="dxa"/>
            <w:tcBorders>
              <w:top w:val="single" w:color="auto" w:sz="4" w:space="0"/>
              <w:left w:val="single" w:color="auto" w:sz="4" w:space="0"/>
              <w:bottom w:val="single" w:color="auto" w:sz="4" w:space="0"/>
              <w:right w:val="single" w:color="auto" w:sz="4" w:space="0"/>
            </w:tcBorders>
            <w:shd w:val="clear" w:color="auto" w:fill="auto"/>
            <w:vAlign w:val="center"/>
          </w:tcPr>
          <w:p w14:paraId="7E939D18">
            <w:pPr>
              <w:spacing w:line="240" w:lineRule="auto"/>
              <w:jc w:val="left"/>
              <w:rPr>
                <w:sz w:val="18"/>
              </w:rPr>
            </w:pPr>
          </w:p>
        </w:tc>
        <w:tc>
          <w:tcPr>
            <w:tcW w:w="1120" w:type="dxa"/>
            <w:tcBorders>
              <w:top w:val="single" w:color="auto" w:sz="4" w:space="0"/>
              <w:left w:val="single" w:color="auto" w:sz="4" w:space="0"/>
              <w:bottom w:val="single" w:color="auto" w:sz="4" w:space="0"/>
              <w:right w:val="single" w:color="auto" w:sz="4" w:space="0"/>
            </w:tcBorders>
            <w:shd w:val="clear" w:color="auto" w:fill="auto"/>
            <w:vAlign w:val="center"/>
          </w:tcPr>
          <w:p w14:paraId="7FFE9721">
            <w:pPr>
              <w:spacing w:line="240" w:lineRule="auto"/>
              <w:jc w:val="left"/>
              <w:rPr>
                <w:sz w:val="18"/>
              </w:rPr>
            </w:pPr>
          </w:p>
        </w:tc>
        <w:tc>
          <w:tcPr>
            <w:tcW w:w="1240" w:type="dxa"/>
            <w:tcBorders>
              <w:top w:val="single" w:color="auto" w:sz="4" w:space="0"/>
              <w:left w:val="single" w:color="auto" w:sz="4" w:space="0"/>
              <w:bottom w:val="single" w:color="auto" w:sz="4" w:space="0"/>
              <w:right w:val="single" w:color="auto" w:sz="4" w:space="0"/>
            </w:tcBorders>
            <w:shd w:val="clear" w:color="auto" w:fill="auto"/>
            <w:vAlign w:val="center"/>
          </w:tcPr>
          <w:p w14:paraId="64F8BF1A">
            <w:pPr>
              <w:spacing w:line="240" w:lineRule="auto"/>
              <w:jc w:val="left"/>
              <w:rPr>
                <w:sz w:val="18"/>
              </w:rPr>
            </w:pPr>
          </w:p>
        </w:tc>
        <w:tc>
          <w:tcPr>
            <w:tcW w:w="1180" w:type="dxa"/>
            <w:tcBorders>
              <w:top w:val="single" w:color="auto" w:sz="4" w:space="0"/>
              <w:left w:val="single" w:color="auto" w:sz="4" w:space="0"/>
              <w:bottom w:val="single" w:color="auto" w:sz="4" w:space="0"/>
              <w:right w:val="single" w:color="auto" w:sz="4" w:space="0"/>
            </w:tcBorders>
            <w:shd w:val="clear" w:color="auto" w:fill="auto"/>
            <w:vAlign w:val="center"/>
          </w:tcPr>
          <w:p w14:paraId="35C83ADD">
            <w:pPr>
              <w:spacing w:line="240" w:lineRule="auto"/>
              <w:jc w:val="left"/>
              <w:rPr>
                <w:sz w:val="18"/>
              </w:rPr>
            </w:pPr>
          </w:p>
        </w:tc>
        <w:tc>
          <w:tcPr>
            <w:tcW w:w="1313" w:type="dxa"/>
            <w:tcBorders>
              <w:top w:val="single" w:color="auto" w:sz="4" w:space="0"/>
              <w:left w:val="single" w:color="auto" w:sz="4" w:space="0"/>
              <w:bottom w:val="single" w:color="auto" w:sz="4" w:space="0"/>
              <w:right w:val="single" w:color="auto" w:sz="8" w:space="0"/>
            </w:tcBorders>
            <w:shd w:val="clear" w:color="auto" w:fill="auto"/>
            <w:vAlign w:val="center"/>
          </w:tcPr>
          <w:p w14:paraId="5D86F1C5">
            <w:pPr>
              <w:spacing w:line="240" w:lineRule="auto"/>
              <w:jc w:val="left"/>
              <w:rPr>
                <w:sz w:val="18"/>
              </w:rPr>
            </w:pPr>
          </w:p>
        </w:tc>
      </w:tr>
      <w:tr w14:paraId="27B366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462" w:type="dxa"/>
            <w:tcBorders>
              <w:top w:val="single" w:color="auto" w:sz="4" w:space="0"/>
              <w:left w:val="single" w:color="auto" w:sz="8" w:space="0"/>
              <w:bottom w:val="single" w:color="auto" w:sz="4" w:space="0"/>
              <w:right w:val="single" w:color="auto" w:sz="4" w:space="0"/>
            </w:tcBorders>
            <w:shd w:val="clear" w:color="auto" w:fill="auto"/>
            <w:vAlign w:val="center"/>
          </w:tcPr>
          <w:p w14:paraId="25D0B189">
            <w:pPr>
              <w:spacing w:line="240" w:lineRule="auto"/>
              <w:jc w:val="left"/>
              <w:rPr>
                <w:b/>
                <w:bCs/>
                <w:sz w:val="18"/>
              </w:rPr>
            </w:pPr>
            <w:r>
              <w:rPr>
                <w:rFonts w:hint="eastAsia"/>
                <w:b/>
                <w:bCs/>
                <w:sz w:val="18"/>
              </w:rPr>
              <w:t>素烧</w:t>
            </w:r>
          </w:p>
        </w:tc>
        <w:tc>
          <w:tcPr>
            <w:tcW w:w="2951" w:type="dxa"/>
            <w:tcBorders>
              <w:top w:val="single" w:color="auto" w:sz="4" w:space="0"/>
              <w:left w:val="single" w:color="auto" w:sz="4" w:space="0"/>
              <w:bottom w:val="single" w:color="auto" w:sz="4" w:space="0"/>
              <w:right w:val="single" w:color="auto" w:sz="4" w:space="0"/>
            </w:tcBorders>
            <w:shd w:val="clear" w:color="auto" w:fill="auto"/>
            <w:vAlign w:val="center"/>
          </w:tcPr>
          <w:p w14:paraId="52379C53">
            <w:pPr>
              <w:spacing w:line="240" w:lineRule="auto"/>
              <w:jc w:val="left"/>
              <w:rPr>
                <w:sz w:val="18"/>
              </w:rPr>
            </w:pPr>
          </w:p>
        </w:tc>
        <w:tc>
          <w:tcPr>
            <w:tcW w:w="1120" w:type="dxa"/>
            <w:tcBorders>
              <w:top w:val="single" w:color="auto" w:sz="4" w:space="0"/>
              <w:left w:val="single" w:color="auto" w:sz="4" w:space="0"/>
              <w:bottom w:val="single" w:color="auto" w:sz="4" w:space="0"/>
              <w:right w:val="single" w:color="auto" w:sz="4" w:space="0"/>
            </w:tcBorders>
            <w:shd w:val="clear" w:color="auto" w:fill="auto"/>
            <w:vAlign w:val="center"/>
          </w:tcPr>
          <w:p w14:paraId="3A7507E6">
            <w:pPr>
              <w:spacing w:line="240" w:lineRule="auto"/>
              <w:jc w:val="left"/>
              <w:rPr>
                <w:sz w:val="18"/>
              </w:rPr>
            </w:pPr>
          </w:p>
        </w:tc>
        <w:tc>
          <w:tcPr>
            <w:tcW w:w="1240" w:type="dxa"/>
            <w:tcBorders>
              <w:top w:val="single" w:color="auto" w:sz="4" w:space="0"/>
              <w:left w:val="single" w:color="auto" w:sz="4" w:space="0"/>
              <w:bottom w:val="single" w:color="auto" w:sz="4" w:space="0"/>
              <w:right w:val="single" w:color="auto" w:sz="4" w:space="0"/>
            </w:tcBorders>
            <w:shd w:val="clear" w:color="auto" w:fill="auto"/>
            <w:vAlign w:val="center"/>
          </w:tcPr>
          <w:p w14:paraId="36BCE40A">
            <w:pPr>
              <w:spacing w:line="240" w:lineRule="auto"/>
              <w:jc w:val="left"/>
              <w:rPr>
                <w:sz w:val="18"/>
              </w:rPr>
            </w:pPr>
          </w:p>
        </w:tc>
        <w:tc>
          <w:tcPr>
            <w:tcW w:w="1180" w:type="dxa"/>
            <w:tcBorders>
              <w:top w:val="single" w:color="auto" w:sz="4" w:space="0"/>
              <w:left w:val="single" w:color="auto" w:sz="4" w:space="0"/>
              <w:bottom w:val="single" w:color="auto" w:sz="4" w:space="0"/>
              <w:right w:val="single" w:color="auto" w:sz="4" w:space="0"/>
            </w:tcBorders>
            <w:shd w:val="clear" w:color="auto" w:fill="auto"/>
            <w:vAlign w:val="center"/>
          </w:tcPr>
          <w:p w14:paraId="0785132D">
            <w:pPr>
              <w:spacing w:line="240" w:lineRule="auto"/>
              <w:jc w:val="left"/>
              <w:rPr>
                <w:sz w:val="18"/>
              </w:rPr>
            </w:pPr>
          </w:p>
        </w:tc>
        <w:tc>
          <w:tcPr>
            <w:tcW w:w="1313" w:type="dxa"/>
            <w:tcBorders>
              <w:top w:val="single" w:color="auto" w:sz="4" w:space="0"/>
              <w:left w:val="single" w:color="auto" w:sz="4" w:space="0"/>
              <w:bottom w:val="single" w:color="auto" w:sz="4" w:space="0"/>
              <w:right w:val="single" w:color="auto" w:sz="8" w:space="0"/>
            </w:tcBorders>
            <w:shd w:val="clear" w:color="auto" w:fill="auto"/>
            <w:vAlign w:val="center"/>
          </w:tcPr>
          <w:p w14:paraId="173D5A06">
            <w:pPr>
              <w:spacing w:line="240" w:lineRule="auto"/>
              <w:jc w:val="left"/>
              <w:rPr>
                <w:sz w:val="18"/>
              </w:rPr>
            </w:pPr>
          </w:p>
        </w:tc>
      </w:tr>
      <w:tr w14:paraId="1F47D9A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462" w:type="dxa"/>
            <w:tcBorders>
              <w:top w:val="single" w:color="auto" w:sz="4" w:space="0"/>
              <w:left w:val="single" w:color="auto" w:sz="8" w:space="0"/>
              <w:bottom w:val="single" w:color="auto" w:sz="4" w:space="0"/>
              <w:right w:val="single" w:color="auto" w:sz="4" w:space="0"/>
            </w:tcBorders>
            <w:shd w:val="clear" w:color="auto" w:fill="auto"/>
            <w:vAlign w:val="center"/>
          </w:tcPr>
          <w:p w14:paraId="2866AFCB">
            <w:pPr>
              <w:spacing w:line="240" w:lineRule="auto"/>
              <w:jc w:val="left"/>
              <w:rPr>
                <w:sz w:val="18"/>
              </w:rPr>
            </w:pPr>
            <w:r>
              <w:rPr>
                <w:rFonts w:hint="eastAsia"/>
                <w:sz w:val="18"/>
              </w:rPr>
              <w:t>坯体入窑</w:t>
            </w:r>
          </w:p>
        </w:tc>
        <w:tc>
          <w:tcPr>
            <w:tcW w:w="2951" w:type="dxa"/>
            <w:tcBorders>
              <w:top w:val="single" w:color="auto" w:sz="4" w:space="0"/>
              <w:left w:val="single" w:color="auto" w:sz="4" w:space="0"/>
              <w:bottom w:val="single" w:color="auto" w:sz="4" w:space="0"/>
              <w:right w:val="single" w:color="auto" w:sz="4" w:space="0"/>
            </w:tcBorders>
            <w:shd w:val="clear" w:color="auto" w:fill="auto"/>
            <w:vAlign w:val="center"/>
          </w:tcPr>
          <w:p w14:paraId="0672D2F8">
            <w:pPr>
              <w:spacing w:line="240" w:lineRule="auto"/>
              <w:jc w:val="left"/>
              <w:rPr>
                <w:sz w:val="18"/>
              </w:rPr>
            </w:pPr>
          </w:p>
        </w:tc>
        <w:tc>
          <w:tcPr>
            <w:tcW w:w="1120" w:type="dxa"/>
            <w:tcBorders>
              <w:top w:val="single" w:color="auto" w:sz="4" w:space="0"/>
              <w:left w:val="single" w:color="auto" w:sz="4" w:space="0"/>
              <w:bottom w:val="single" w:color="auto" w:sz="4" w:space="0"/>
              <w:right w:val="single" w:color="auto" w:sz="4" w:space="0"/>
            </w:tcBorders>
            <w:shd w:val="clear" w:color="auto" w:fill="auto"/>
            <w:vAlign w:val="center"/>
          </w:tcPr>
          <w:p w14:paraId="7E142DDC">
            <w:pPr>
              <w:spacing w:line="240" w:lineRule="auto"/>
              <w:jc w:val="left"/>
              <w:rPr>
                <w:sz w:val="18"/>
              </w:rPr>
            </w:pPr>
          </w:p>
        </w:tc>
        <w:tc>
          <w:tcPr>
            <w:tcW w:w="1240" w:type="dxa"/>
            <w:tcBorders>
              <w:top w:val="single" w:color="auto" w:sz="4" w:space="0"/>
              <w:left w:val="single" w:color="auto" w:sz="4" w:space="0"/>
              <w:bottom w:val="single" w:color="auto" w:sz="4" w:space="0"/>
              <w:right w:val="single" w:color="auto" w:sz="4" w:space="0"/>
            </w:tcBorders>
            <w:shd w:val="clear" w:color="auto" w:fill="auto"/>
            <w:vAlign w:val="center"/>
          </w:tcPr>
          <w:p w14:paraId="673052D8">
            <w:pPr>
              <w:spacing w:line="240" w:lineRule="auto"/>
              <w:jc w:val="left"/>
              <w:rPr>
                <w:sz w:val="18"/>
              </w:rPr>
            </w:pPr>
          </w:p>
        </w:tc>
        <w:tc>
          <w:tcPr>
            <w:tcW w:w="1180" w:type="dxa"/>
            <w:tcBorders>
              <w:top w:val="single" w:color="auto" w:sz="4" w:space="0"/>
              <w:left w:val="single" w:color="auto" w:sz="4" w:space="0"/>
              <w:bottom w:val="single" w:color="auto" w:sz="4" w:space="0"/>
              <w:right w:val="single" w:color="auto" w:sz="4" w:space="0"/>
            </w:tcBorders>
            <w:shd w:val="clear" w:color="auto" w:fill="auto"/>
            <w:vAlign w:val="center"/>
          </w:tcPr>
          <w:p w14:paraId="43E72779">
            <w:pPr>
              <w:spacing w:line="240" w:lineRule="auto"/>
              <w:jc w:val="left"/>
              <w:rPr>
                <w:sz w:val="18"/>
              </w:rPr>
            </w:pPr>
          </w:p>
        </w:tc>
        <w:tc>
          <w:tcPr>
            <w:tcW w:w="1313" w:type="dxa"/>
            <w:tcBorders>
              <w:top w:val="single" w:color="auto" w:sz="4" w:space="0"/>
              <w:left w:val="single" w:color="auto" w:sz="4" w:space="0"/>
              <w:bottom w:val="single" w:color="auto" w:sz="4" w:space="0"/>
              <w:right w:val="single" w:color="auto" w:sz="8" w:space="0"/>
            </w:tcBorders>
            <w:shd w:val="clear" w:color="auto" w:fill="auto"/>
            <w:vAlign w:val="center"/>
          </w:tcPr>
          <w:p w14:paraId="15E2223A">
            <w:pPr>
              <w:spacing w:line="240" w:lineRule="auto"/>
              <w:jc w:val="left"/>
              <w:rPr>
                <w:sz w:val="18"/>
              </w:rPr>
            </w:pPr>
          </w:p>
        </w:tc>
      </w:tr>
      <w:tr w14:paraId="64CA89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462" w:type="dxa"/>
            <w:tcBorders>
              <w:top w:val="single" w:color="auto" w:sz="4" w:space="0"/>
              <w:left w:val="single" w:color="auto" w:sz="8" w:space="0"/>
              <w:bottom w:val="single" w:color="auto" w:sz="4" w:space="0"/>
              <w:right w:val="single" w:color="auto" w:sz="4" w:space="0"/>
            </w:tcBorders>
            <w:shd w:val="clear" w:color="auto" w:fill="auto"/>
            <w:vAlign w:val="center"/>
          </w:tcPr>
          <w:p w14:paraId="227663B8">
            <w:pPr>
              <w:spacing w:line="240" w:lineRule="auto"/>
              <w:jc w:val="left"/>
              <w:rPr>
                <w:sz w:val="18"/>
              </w:rPr>
            </w:pPr>
            <w:r>
              <w:rPr>
                <w:rFonts w:hint="eastAsia"/>
                <w:sz w:val="18"/>
              </w:rPr>
              <w:t>过程监控</w:t>
            </w:r>
          </w:p>
        </w:tc>
        <w:tc>
          <w:tcPr>
            <w:tcW w:w="2951" w:type="dxa"/>
            <w:tcBorders>
              <w:top w:val="single" w:color="auto" w:sz="4" w:space="0"/>
              <w:left w:val="single" w:color="auto" w:sz="4" w:space="0"/>
              <w:bottom w:val="single" w:color="auto" w:sz="4" w:space="0"/>
              <w:right w:val="single" w:color="auto" w:sz="4" w:space="0"/>
            </w:tcBorders>
            <w:shd w:val="clear" w:color="auto" w:fill="auto"/>
            <w:vAlign w:val="center"/>
          </w:tcPr>
          <w:p w14:paraId="32DC4138">
            <w:pPr>
              <w:spacing w:line="240" w:lineRule="auto"/>
              <w:jc w:val="left"/>
              <w:rPr>
                <w:sz w:val="18"/>
              </w:rPr>
            </w:pPr>
          </w:p>
        </w:tc>
        <w:tc>
          <w:tcPr>
            <w:tcW w:w="1120" w:type="dxa"/>
            <w:tcBorders>
              <w:top w:val="single" w:color="auto" w:sz="4" w:space="0"/>
              <w:left w:val="single" w:color="auto" w:sz="4" w:space="0"/>
              <w:bottom w:val="single" w:color="auto" w:sz="4" w:space="0"/>
              <w:right w:val="single" w:color="auto" w:sz="4" w:space="0"/>
            </w:tcBorders>
            <w:shd w:val="clear" w:color="auto" w:fill="auto"/>
            <w:vAlign w:val="center"/>
          </w:tcPr>
          <w:p w14:paraId="46BEBDBC">
            <w:pPr>
              <w:spacing w:line="240" w:lineRule="auto"/>
              <w:jc w:val="left"/>
              <w:rPr>
                <w:sz w:val="18"/>
              </w:rPr>
            </w:pPr>
          </w:p>
        </w:tc>
        <w:tc>
          <w:tcPr>
            <w:tcW w:w="1240" w:type="dxa"/>
            <w:tcBorders>
              <w:top w:val="single" w:color="auto" w:sz="4" w:space="0"/>
              <w:left w:val="single" w:color="auto" w:sz="4" w:space="0"/>
              <w:bottom w:val="single" w:color="auto" w:sz="4" w:space="0"/>
              <w:right w:val="single" w:color="auto" w:sz="4" w:space="0"/>
            </w:tcBorders>
            <w:shd w:val="clear" w:color="auto" w:fill="auto"/>
            <w:vAlign w:val="center"/>
          </w:tcPr>
          <w:p w14:paraId="1E81BE93">
            <w:pPr>
              <w:spacing w:line="240" w:lineRule="auto"/>
              <w:jc w:val="left"/>
              <w:rPr>
                <w:sz w:val="18"/>
              </w:rPr>
            </w:pPr>
          </w:p>
        </w:tc>
        <w:tc>
          <w:tcPr>
            <w:tcW w:w="1180" w:type="dxa"/>
            <w:tcBorders>
              <w:top w:val="single" w:color="auto" w:sz="4" w:space="0"/>
              <w:left w:val="single" w:color="auto" w:sz="4" w:space="0"/>
              <w:bottom w:val="single" w:color="auto" w:sz="4" w:space="0"/>
              <w:right w:val="single" w:color="auto" w:sz="4" w:space="0"/>
            </w:tcBorders>
            <w:shd w:val="clear" w:color="auto" w:fill="auto"/>
            <w:vAlign w:val="center"/>
          </w:tcPr>
          <w:p w14:paraId="7278C8BE">
            <w:pPr>
              <w:spacing w:line="240" w:lineRule="auto"/>
              <w:jc w:val="left"/>
              <w:rPr>
                <w:sz w:val="18"/>
              </w:rPr>
            </w:pPr>
          </w:p>
        </w:tc>
        <w:tc>
          <w:tcPr>
            <w:tcW w:w="1313" w:type="dxa"/>
            <w:tcBorders>
              <w:top w:val="single" w:color="auto" w:sz="4" w:space="0"/>
              <w:left w:val="single" w:color="auto" w:sz="4" w:space="0"/>
              <w:bottom w:val="single" w:color="auto" w:sz="4" w:space="0"/>
              <w:right w:val="single" w:color="auto" w:sz="8" w:space="0"/>
            </w:tcBorders>
            <w:shd w:val="clear" w:color="auto" w:fill="auto"/>
            <w:vAlign w:val="center"/>
          </w:tcPr>
          <w:p w14:paraId="1EBA1BD5">
            <w:pPr>
              <w:spacing w:line="240" w:lineRule="auto"/>
              <w:jc w:val="left"/>
              <w:rPr>
                <w:sz w:val="18"/>
              </w:rPr>
            </w:pPr>
          </w:p>
        </w:tc>
      </w:tr>
      <w:tr w14:paraId="3F84EF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462" w:type="dxa"/>
            <w:tcBorders>
              <w:top w:val="single" w:color="auto" w:sz="4" w:space="0"/>
              <w:left w:val="single" w:color="auto" w:sz="8" w:space="0"/>
              <w:bottom w:val="single" w:color="auto" w:sz="4" w:space="0"/>
              <w:right w:val="single" w:color="auto" w:sz="4" w:space="0"/>
            </w:tcBorders>
            <w:shd w:val="clear" w:color="auto" w:fill="auto"/>
            <w:vAlign w:val="center"/>
          </w:tcPr>
          <w:p w14:paraId="48FB8D28">
            <w:pPr>
              <w:spacing w:line="240" w:lineRule="auto"/>
              <w:jc w:val="left"/>
              <w:rPr>
                <w:sz w:val="18"/>
              </w:rPr>
            </w:pPr>
            <w:r>
              <w:rPr>
                <w:rFonts w:hint="eastAsia"/>
                <w:sz w:val="18"/>
              </w:rPr>
              <w:t>素烧完成</w:t>
            </w:r>
          </w:p>
        </w:tc>
        <w:tc>
          <w:tcPr>
            <w:tcW w:w="2951" w:type="dxa"/>
            <w:tcBorders>
              <w:top w:val="single" w:color="auto" w:sz="4" w:space="0"/>
              <w:left w:val="single" w:color="auto" w:sz="4" w:space="0"/>
              <w:bottom w:val="single" w:color="auto" w:sz="4" w:space="0"/>
              <w:right w:val="single" w:color="auto" w:sz="4" w:space="0"/>
            </w:tcBorders>
            <w:shd w:val="clear" w:color="auto" w:fill="auto"/>
            <w:vAlign w:val="center"/>
          </w:tcPr>
          <w:p w14:paraId="75630D06">
            <w:pPr>
              <w:spacing w:line="240" w:lineRule="auto"/>
              <w:jc w:val="left"/>
              <w:rPr>
                <w:sz w:val="18"/>
              </w:rPr>
            </w:pPr>
          </w:p>
        </w:tc>
        <w:tc>
          <w:tcPr>
            <w:tcW w:w="1120" w:type="dxa"/>
            <w:tcBorders>
              <w:top w:val="single" w:color="auto" w:sz="4" w:space="0"/>
              <w:left w:val="single" w:color="auto" w:sz="4" w:space="0"/>
              <w:bottom w:val="single" w:color="auto" w:sz="4" w:space="0"/>
              <w:right w:val="single" w:color="auto" w:sz="4" w:space="0"/>
            </w:tcBorders>
            <w:shd w:val="clear" w:color="auto" w:fill="auto"/>
            <w:vAlign w:val="center"/>
          </w:tcPr>
          <w:p w14:paraId="73F782AE">
            <w:pPr>
              <w:spacing w:line="240" w:lineRule="auto"/>
              <w:jc w:val="left"/>
              <w:rPr>
                <w:sz w:val="18"/>
              </w:rPr>
            </w:pPr>
          </w:p>
        </w:tc>
        <w:tc>
          <w:tcPr>
            <w:tcW w:w="1240" w:type="dxa"/>
            <w:tcBorders>
              <w:top w:val="single" w:color="auto" w:sz="4" w:space="0"/>
              <w:left w:val="single" w:color="auto" w:sz="4" w:space="0"/>
              <w:bottom w:val="single" w:color="auto" w:sz="4" w:space="0"/>
              <w:right w:val="single" w:color="auto" w:sz="4" w:space="0"/>
            </w:tcBorders>
            <w:shd w:val="clear" w:color="auto" w:fill="auto"/>
            <w:vAlign w:val="center"/>
          </w:tcPr>
          <w:p w14:paraId="795D55CD">
            <w:pPr>
              <w:spacing w:line="240" w:lineRule="auto"/>
              <w:jc w:val="left"/>
              <w:rPr>
                <w:sz w:val="18"/>
              </w:rPr>
            </w:pPr>
          </w:p>
        </w:tc>
        <w:tc>
          <w:tcPr>
            <w:tcW w:w="1180" w:type="dxa"/>
            <w:tcBorders>
              <w:top w:val="single" w:color="auto" w:sz="4" w:space="0"/>
              <w:left w:val="single" w:color="auto" w:sz="4" w:space="0"/>
              <w:bottom w:val="single" w:color="auto" w:sz="4" w:space="0"/>
              <w:right w:val="single" w:color="auto" w:sz="4" w:space="0"/>
            </w:tcBorders>
            <w:shd w:val="clear" w:color="auto" w:fill="auto"/>
            <w:vAlign w:val="center"/>
          </w:tcPr>
          <w:p w14:paraId="0CB19EC6">
            <w:pPr>
              <w:spacing w:line="240" w:lineRule="auto"/>
              <w:jc w:val="left"/>
              <w:rPr>
                <w:sz w:val="18"/>
              </w:rPr>
            </w:pPr>
          </w:p>
        </w:tc>
        <w:tc>
          <w:tcPr>
            <w:tcW w:w="1313" w:type="dxa"/>
            <w:tcBorders>
              <w:top w:val="single" w:color="auto" w:sz="4" w:space="0"/>
              <w:left w:val="single" w:color="auto" w:sz="4" w:space="0"/>
              <w:bottom w:val="single" w:color="auto" w:sz="4" w:space="0"/>
              <w:right w:val="single" w:color="auto" w:sz="8" w:space="0"/>
            </w:tcBorders>
            <w:shd w:val="clear" w:color="auto" w:fill="auto"/>
            <w:vAlign w:val="center"/>
          </w:tcPr>
          <w:p w14:paraId="1524CACE">
            <w:pPr>
              <w:spacing w:line="240" w:lineRule="auto"/>
              <w:jc w:val="left"/>
              <w:rPr>
                <w:sz w:val="18"/>
              </w:rPr>
            </w:pPr>
          </w:p>
        </w:tc>
      </w:tr>
      <w:tr w14:paraId="574F9C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462" w:type="dxa"/>
            <w:tcBorders>
              <w:top w:val="single" w:color="auto" w:sz="4" w:space="0"/>
              <w:left w:val="single" w:color="auto" w:sz="8" w:space="0"/>
              <w:bottom w:val="single" w:color="auto" w:sz="4" w:space="0"/>
              <w:right w:val="single" w:color="auto" w:sz="4" w:space="0"/>
            </w:tcBorders>
            <w:shd w:val="clear" w:color="auto" w:fill="auto"/>
            <w:vAlign w:val="center"/>
          </w:tcPr>
          <w:p w14:paraId="69D71BA8">
            <w:pPr>
              <w:spacing w:line="240" w:lineRule="auto"/>
              <w:jc w:val="left"/>
              <w:rPr>
                <w:sz w:val="18"/>
              </w:rPr>
            </w:pPr>
            <w:r>
              <w:rPr>
                <w:rFonts w:hint="eastAsia"/>
                <w:sz w:val="18"/>
              </w:rPr>
              <w:t>坯体出窑</w:t>
            </w:r>
          </w:p>
        </w:tc>
        <w:tc>
          <w:tcPr>
            <w:tcW w:w="2951" w:type="dxa"/>
            <w:tcBorders>
              <w:top w:val="single" w:color="auto" w:sz="4" w:space="0"/>
              <w:left w:val="single" w:color="auto" w:sz="4" w:space="0"/>
              <w:bottom w:val="single" w:color="auto" w:sz="4" w:space="0"/>
              <w:right w:val="single" w:color="auto" w:sz="4" w:space="0"/>
            </w:tcBorders>
            <w:shd w:val="clear" w:color="auto" w:fill="auto"/>
            <w:vAlign w:val="center"/>
          </w:tcPr>
          <w:p w14:paraId="7C4CE53A">
            <w:pPr>
              <w:spacing w:line="240" w:lineRule="auto"/>
              <w:jc w:val="left"/>
              <w:rPr>
                <w:sz w:val="18"/>
              </w:rPr>
            </w:pPr>
          </w:p>
        </w:tc>
        <w:tc>
          <w:tcPr>
            <w:tcW w:w="1120" w:type="dxa"/>
            <w:tcBorders>
              <w:top w:val="single" w:color="auto" w:sz="4" w:space="0"/>
              <w:left w:val="single" w:color="auto" w:sz="4" w:space="0"/>
              <w:bottom w:val="single" w:color="auto" w:sz="4" w:space="0"/>
              <w:right w:val="single" w:color="auto" w:sz="4" w:space="0"/>
            </w:tcBorders>
            <w:shd w:val="clear" w:color="auto" w:fill="auto"/>
            <w:vAlign w:val="center"/>
          </w:tcPr>
          <w:p w14:paraId="2D02E32C">
            <w:pPr>
              <w:spacing w:line="240" w:lineRule="auto"/>
              <w:jc w:val="left"/>
              <w:rPr>
                <w:sz w:val="18"/>
              </w:rPr>
            </w:pPr>
          </w:p>
        </w:tc>
        <w:tc>
          <w:tcPr>
            <w:tcW w:w="1240" w:type="dxa"/>
            <w:tcBorders>
              <w:top w:val="single" w:color="auto" w:sz="4" w:space="0"/>
              <w:left w:val="single" w:color="auto" w:sz="4" w:space="0"/>
              <w:bottom w:val="single" w:color="auto" w:sz="4" w:space="0"/>
              <w:right w:val="single" w:color="auto" w:sz="4" w:space="0"/>
            </w:tcBorders>
            <w:shd w:val="clear" w:color="auto" w:fill="auto"/>
            <w:vAlign w:val="center"/>
          </w:tcPr>
          <w:p w14:paraId="62D1E79F">
            <w:pPr>
              <w:spacing w:line="240" w:lineRule="auto"/>
              <w:jc w:val="left"/>
              <w:rPr>
                <w:sz w:val="18"/>
              </w:rPr>
            </w:pPr>
          </w:p>
        </w:tc>
        <w:tc>
          <w:tcPr>
            <w:tcW w:w="1180" w:type="dxa"/>
            <w:tcBorders>
              <w:top w:val="single" w:color="auto" w:sz="4" w:space="0"/>
              <w:left w:val="single" w:color="auto" w:sz="4" w:space="0"/>
              <w:bottom w:val="single" w:color="auto" w:sz="4" w:space="0"/>
              <w:right w:val="single" w:color="auto" w:sz="4" w:space="0"/>
            </w:tcBorders>
            <w:shd w:val="clear" w:color="auto" w:fill="auto"/>
            <w:vAlign w:val="center"/>
          </w:tcPr>
          <w:p w14:paraId="29AFBA65">
            <w:pPr>
              <w:spacing w:line="240" w:lineRule="auto"/>
              <w:jc w:val="left"/>
              <w:rPr>
                <w:sz w:val="18"/>
              </w:rPr>
            </w:pPr>
          </w:p>
        </w:tc>
        <w:tc>
          <w:tcPr>
            <w:tcW w:w="1313" w:type="dxa"/>
            <w:tcBorders>
              <w:top w:val="single" w:color="auto" w:sz="4" w:space="0"/>
              <w:left w:val="single" w:color="auto" w:sz="4" w:space="0"/>
              <w:bottom w:val="single" w:color="auto" w:sz="4" w:space="0"/>
              <w:right w:val="single" w:color="auto" w:sz="8" w:space="0"/>
            </w:tcBorders>
            <w:shd w:val="clear" w:color="auto" w:fill="auto"/>
            <w:vAlign w:val="center"/>
          </w:tcPr>
          <w:p w14:paraId="558E834A">
            <w:pPr>
              <w:spacing w:line="240" w:lineRule="auto"/>
              <w:jc w:val="left"/>
              <w:rPr>
                <w:sz w:val="18"/>
              </w:rPr>
            </w:pPr>
          </w:p>
        </w:tc>
      </w:tr>
      <w:tr w14:paraId="43CE82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462" w:type="dxa"/>
            <w:tcBorders>
              <w:top w:val="single" w:color="auto" w:sz="4" w:space="0"/>
              <w:left w:val="single" w:color="auto" w:sz="8" w:space="0"/>
              <w:bottom w:val="single" w:color="auto" w:sz="4" w:space="0"/>
              <w:right w:val="single" w:color="auto" w:sz="4" w:space="0"/>
            </w:tcBorders>
            <w:shd w:val="clear" w:color="auto" w:fill="auto"/>
            <w:vAlign w:val="center"/>
          </w:tcPr>
          <w:p w14:paraId="2432D20F">
            <w:pPr>
              <w:spacing w:line="240" w:lineRule="auto"/>
              <w:jc w:val="left"/>
              <w:rPr>
                <w:b/>
                <w:bCs/>
                <w:sz w:val="18"/>
              </w:rPr>
            </w:pPr>
            <w:r>
              <w:rPr>
                <w:rFonts w:hint="eastAsia"/>
                <w:b/>
                <w:bCs/>
                <w:sz w:val="18"/>
              </w:rPr>
              <w:t>打底标</w:t>
            </w:r>
          </w:p>
        </w:tc>
        <w:tc>
          <w:tcPr>
            <w:tcW w:w="2951" w:type="dxa"/>
            <w:tcBorders>
              <w:top w:val="single" w:color="auto" w:sz="4" w:space="0"/>
              <w:left w:val="single" w:color="auto" w:sz="4" w:space="0"/>
              <w:bottom w:val="single" w:color="auto" w:sz="4" w:space="0"/>
              <w:right w:val="single" w:color="auto" w:sz="4" w:space="0"/>
            </w:tcBorders>
            <w:shd w:val="clear" w:color="auto" w:fill="auto"/>
            <w:vAlign w:val="center"/>
          </w:tcPr>
          <w:p w14:paraId="4CB145D7">
            <w:pPr>
              <w:spacing w:line="240" w:lineRule="auto"/>
              <w:jc w:val="left"/>
              <w:rPr>
                <w:sz w:val="18"/>
              </w:rPr>
            </w:pPr>
          </w:p>
        </w:tc>
        <w:tc>
          <w:tcPr>
            <w:tcW w:w="1120" w:type="dxa"/>
            <w:tcBorders>
              <w:top w:val="single" w:color="auto" w:sz="4" w:space="0"/>
              <w:left w:val="single" w:color="auto" w:sz="4" w:space="0"/>
              <w:bottom w:val="single" w:color="auto" w:sz="4" w:space="0"/>
              <w:right w:val="single" w:color="auto" w:sz="4" w:space="0"/>
            </w:tcBorders>
            <w:shd w:val="clear" w:color="auto" w:fill="auto"/>
            <w:vAlign w:val="center"/>
          </w:tcPr>
          <w:p w14:paraId="47D13261">
            <w:pPr>
              <w:spacing w:line="240" w:lineRule="auto"/>
              <w:jc w:val="left"/>
              <w:rPr>
                <w:sz w:val="18"/>
              </w:rPr>
            </w:pPr>
          </w:p>
        </w:tc>
        <w:tc>
          <w:tcPr>
            <w:tcW w:w="1240" w:type="dxa"/>
            <w:tcBorders>
              <w:top w:val="single" w:color="auto" w:sz="4" w:space="0"/>
              <w:left w:val="single" w:color="auto" w:sz="4" w:space="0"/>
              <w:bottom w:val="single" w:color="auto" w:sz="4" w:space="0"/>
              <w:right w:val="single" w:color="auto" w:sz="4" w:space="0"/>
            </w:tcBorders>
            <w:shd w:val="clear" w:color="auto" w:fill="auto"/>
            <w:vAlign w:val="center"/>
          </w:tcPr>
          <w:p w14:paraId="3F8694F2">
            <w:pPr>
              <w:spacing w:line="240" w:lineRule="auto"/>
              <w:jc w:val="left"/>
              <w:rPr>
                <w:sz w:val="18"/>
              </w:rPr>
            </w:pPr>
          </w:p>
        </w:tc>
        <w:tc>
          <w:tcPr>
            <w:tcW w:w="1180" w:type="dxa"/>
            <w:tcBorders>
              <w:top w:val="single" w:color="auto" w:sz="4" w:space="0"/>
              <w:left w:val="single" w:color="auto" w:sz="4" w:space="0"/>
              <w:bottom w:val="single" w:color="auto" w:sz="4" w:space="0"/>
              <w:right w:val="single" w:color="auto" w:sz="4" w:space="0"/>
            </w:tcBorders>
            <w:shd w:val="clear" w:color="auto" w:fill="auto"/>
            <w:vAlign w:val="center"/>
          </w:tcPr>
          <w:p w14:paraId="290CDC5C">
            <w:pPr>
              <w:spacing w:line="240" w:lineRule="auto"/>
              <w:jc w:val="left"/>
              <w:rPr>
                <w:sz w:val="18"/>
              </w:rPr>
            </w:pPr>
          </w:p>
        </w:tc>
        <w:tc>
          <w:tcPr>
            <w:tcW w:w="1313" w:type="dxa"/>
            <w:tcBorders>
              <w:top w:val="single" w:color="auto" w:sz="4" w:space="0"/>
              <w:left w:val="single" w:color="auto" w:sz="4" w:space="0"/>
              <w:bottom w:val="single" w:color="auto" w:sz="4" w:space="0"/>
              <w:right w:val="single" w:color="auto" w:sz="8" w:space="0"/>
            </w:tcBorders>
            <w:shd w:val="clear" w:color="auto" w:fill="auto"/>
            <w:vAlign w:val="center"/>
          </w:tcPr>
          <w:p w14:paraId="6D6E8418">
            <w:pPr>
              <w:spacing w:line="240" w:lineRule="auto"/>
              <w:jc w:val="left"/>
              <w:rPr>
                <w:sz w:val="18"/>
              </w:rPr>
            </w:pPr>
          </w:p>
        </w:tc>
      </w:tr>
      <w:tr w14:paraId="41C165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462" w:type="dxa"/>
            <w:tcBorders>
              <w:top w:val="single" w:color="auto" w:sz="4" w:space="0"/>
              <w:left w:val="single" w:color="auto" w:sz="8" w:space="0"/>
              <w:bottom w:val="single" w:color="auto" w:sz="4" w:space="0"/>
              <w:right w:val="single" w:color="auto" w:sz="4" w:space="0"/>
            </w:tcBorders>
            <w:shd w:val="clear" w:color="auto" w:fill="auto"/>
            <w:vAlign w:val="center"/>
          </w:tcPr>
          <w:p w14:paraId="6468DDD8">
            <w:pPr>
              <w:spacing w:line="240" w:lineRule="auto"/>
              <w:jc w:val="left"/>
              <w:rPr>
                <w:b/>
                <w:bCs/>
                <w:sz w:val="18"/>
              </w:rPr>
            </w:pPr>
            <w:r>
              <w:rPr>
                <w:rFonts w:hint="eastAsia"/>
                <w:b/>
                <w:bCs/>
                <w:sz w:val="18"/>
              </w:rPr>
              <w:t>施釉（白釉/色釉）</w:t>
            </w:r>
          </w:p>
        </w:tc>
        <w:tc>
          <w:tcPr>
            <w:tcW w:w="2951" w:type="dxa"/>
            <w:tcBorders>
              <w:top w:val="single" w:color="auto" w:sz="4" w:space="0"/>
              <w:left w:val="single" w:color="auto" w:sz="4" w:space="0"/>
              <w:bottom w:val="single" w:color="auto" w:sz="4" w:space="0"/>
              <w:right w:val="single" w:color="auto" w:sz="4" w:space="0"/>
            </w:tcBorders>
            <w:shd w:val="clear" w:color="auto" w:fill="auto"/>
            <w:vAlign w:val="center"/>
          </w:tcPr>
          <w:p w14:paraId="26139192">
            <w:pPr>
              <w:spacing w:line="240" w:lineRule="auto"/>
              <w:jc w:val="left"/>
              <w:rPr>
                <w:sz w:val="18"/>
              </w:rPr>
            </w:pPr>
          </w:p>
        </w:tc>
        <w:tc>
          <w:tcPr>
            <w:tcW w:w="1120" w:type="dxa"/>
            <w:tcBorders>
              <w:top w:val="single" w:color="auto" w:sz="4" w:space="0"/>
              <w:left w:val="single" w:color="auto" w:sz="4" w:space="0"/>
              <w:bottom w:val="single" w:color="auto" w:sz="4" w:space="0"/>
              <w:right w:val="single" w:color="auto" w:sz="4" w:space="0"/>
            </w:tcBorders>
            <w:shd w:val="clear" w:color="auto" w:fill="auto"/>
            <w:vAlign w:val="center"/>
          </w:tcPr>
          <w:p w14:paraId="57C4494E">
            <w:pPr>
              <w:spacing w:line="240" w:lineRule="auto"/>
              <w:jc w:val="left"/>
              <w:rPr>
                <w:sz w:val="18"/>
              </w:rPr>
            </w:pPr>
          </w:p>
        </w:tc>
        <w:tc>
          <w:tcPr>
            <w:tcW w:w="1240" w:type="dxa"/>
            <w:tcBorders>
              <w:top w:val="single" w:color="auto" w:sz="4" w:space="0"/>
              <w:left w:val="single" w:color="auto" w:sz="4" w:space="0"/>
              <w:bottom w:val="single" w:color="auto" w:sz="4" w:space="0"/>
              <w:right w:val="single" w:color="auto" w:sz="4" w:space="0"/>
            </w:tcBorders>
            <w:shd w:val="clear" w:color="auto" w:fill="auto"/>
            <w:vAlign w:val="center"/>
          </w:tcPr>
          <w:p w14:paraId="203D292D">
            <w:pPr>
              <w:spacing w:line="240" w:lineRule="auto"/>
              <w:jc w:val="left"/>
              <w:rPr>
                <w:sz w:val="18"/>
              </w:rPr>
            </w:pPr>
          </w:p>
        </w:tc>
        <w:tc>
          <w:tcPr>
            <w:tcW w:w="1180" w:type="dxa"/>
            <w:tcBorders>
              <w:top w:val="single" w:color="auto" w:sz="4" w:space="0"/>
              <w:left w:val="single" w:color="auto" w:sz="4" w:space="0"/>
              <w:bottom w:val="single" w:color="auto" w:sz="4" w:space="0"/>
              <w:right w:val="single" w:color="auto" w:sz="4" w:space="0"/>
            </w:tcBorders>
            <w:shd w:val="clear" w:color="auto" w:fill="auto"/>
            <w:vAlign w:val="center"/>
          </w:tcPr>
          <w:p w14:paraId="65617624">
            <w:pPr>
              <w:spacing w:line="240" w:lineRule="auto"/>
              <w:jc w:val="left"/>
              <w:rPr>
                <w:sz w:val="18"/>
              </w:rPr>
            </w:pPr>
          </w:p>
        </w:tc>
        <w:tc>
          <w:tcPr>
            <w:tcW w:w="1313" w:type="dxa"/>
            <w:tcBorders>
              <w:top w:val="single" w:color="auto" w:sz="4" w:space="0"/>
              <w:left w:val="single" w:color="auto" w:sz="4" w:space="0"/>
              <w:bottom w:val="single" w:color="auto" w:sz="4" w:space="0"/>
              <w:right w:val="single" w:color="auto" w:sz="8" w:space="0"/>
            </w:tcBorders>
            <w:shd w:val="clear" w:color="auto" w:fill="auto"/>
            <w:vAlign w:val="center"/>
          </w:tcPr>
          <w:p w14:paraId="66FE3844">
            <w:pPr>
              <w:spacing w:line="240" w:lineRule="auto"/>
              <w:jc w:val="left"/>
              <w:rPr>
                <w:sz w:val="18"/>
              </w:rPr>
            </w:pPr>
          </w:p>
        </w:tc>
      </w:tr>
      <w:tr w14:paraId="5D1FAC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462" w:type="dxa"/>
            <w:tcBorders>
              <w:top w:val="single" w:color="auto" w:sz="4" w:space="0"/>
              <w:left w:val="single" w:color="auto" w:sz="8" w:space="0"/>
              <w:bottom w:val="single" w:color="auto" w:sz="4" w:space="0"/>
              <w:right w:val="single" w:color="auto" w:sz="4" w:space="0"/>
            </w:tcBorders>
            <w:shd w:val="clear" w:color="auto" w:fill="auto"/>
            <w:vAlign w:val="center"/>
          </w:tcPr>
          <w:p w14:paraId="336CBA7B">
            <w:pPr>
              <w:spacing w:line="240" w:lineRule="auto"/>
              <w:jc w:val="left"/>
              <w:rPr>
                <w:b/>
                <w:bCs/>
                <w:sz w:val="18"/>
              </w:rPr>
            </w:pPr>
            <w:r>
              <w:rPr>
                <w:rFonts w:hint="eastAsia"/>
                <w:sz w:val="18"/>
              </w:rPr>
              <w:t>施釉方法</w:t>
            </w:r>
          </w:p>
        </w:tc>
        <w:tc>
          <w:tcPr>
            <w:tcW w:w="2951" w:type="dxa"/>
            <w:tcBorders>
              <w:top w:val="single" w:color="auto" w:sz="4" w:space="0"/>
              <w:left w:val="single" w:color="auto" w:sz="4" w:space="0"/>
              <w:bottom w:val="single" w:color="auto" w:sz="4" w:space="0"/>
              <w:right w:val="single" w:color="auto" w:sz="4" w:space="0"/>
            </w:tcBorders>
            <w:shd w:val="clear" w:color="auto" w:fill="auto"/>
            <w:vAlign w:val="center"/>
          </w:tcPr>
          <w:p w14:paraId="6D3ABE33">
            <w:pPr>
              <w:spacing w:line="240" w:lineRule="auto"/>
              <w:jc w:val="left"/>
              <w:rPr>
                <w:sz w:val="18"/>
              </w:rPr>
            </w:pPr>
          </w:p>
        </w:tc>
        <w:tc>
          <w:tcPr>
            <w:tcW w:w="1120" w:type="dxa"/>
            <w:tcBorders>
              <w:top w:val="single" w:color="auto" w:sz="4" w:space="0"/>
              <w:left w:val="single" w:color="auto" w:sz="4" w:space="0"/>
              <w:bottom w:val="single" w:color="auto" w:sz="4" w:space="0"/>
              <w:right w:val="single" w:color="auto" w:sz="4" w:space="0"/>
            </w:tcBorders>
            <w:shd w:val="clear" w:color="auto" w:fill="auto"/>
            <w:vAlign w:val="center"/>
          </w:tcPr>
          <w:p w14:paraId="019F893E">
            <w:pPr>
              <w:spacing w:line="240" w:lineRule="auto"/>
              <w:jc w:val="left"/>
              <w:rPr>
                <w:sz w:val="18"/>
              </w:rPr>
            </w:pPr>
          </w:p>
        </w:tc>
        <w:tc>
          <w:tcPr>
            <w:tcW w:w="1240" w:type="dxa"/>
            <w:tcBorders>
              <w:top w:val="single" w:color="auto" w:sz="4" w:space="0"/>
              <w:left w:val="single" w:color="auto" w:sz="4" w:space="0"/>
              <w:bottom w:val="single" w:color="auto" w:sz="4" w:space="0"/>
              <w:right w:val="single" w:color="auto" w:sz="4" w:space="0"/>
            </w:tcBorders>
            <w:shd w:val="clear" w:color="auto" w:fill="auto"/>
            <w:vAlign w:val="center"/>
          </w:tcPr>
          <w:p w14:paraId="6060B36A">
            <w:pPr>
              <w:spacing w:line="240" w:lineRule="auto"/>
              <w:jc w:val="left"/>
              <w:rPr>
                <w:sz w:val="18"/>
              </w:rPr>
            </w:pPr>
          </w:p>
        </w:tc>
        <w:tc>
          <w:tcPr>
            <w:tcW w:w="1180" w:type="dxa"/>
            <w:tcBorders>
              <w:top w:val="single" w:color="auto" w:sz="4" w:space="0"/>
              <w:left w:val="single" w:color="auto" w:sz="4" w:space="0"/>
              <w:bottom w:val="single" w:color="auto" w:sz="4" w:space="0"/>
              <w:right w:val="single" w:color="auto" w:sz="4" w:space="0"/>
            </w:tcBorders>
            <w:shd w:val="clear" w:color="auto" w:fill="auto"/>
            <w:vAlign w:val="center"/>
          </w:tcPr>
          <w:p w14:paraId="78CFC392">
            <w:pPr>
              <w:spacing w:line="240" w:lineRule="auto"/>
              <w:jc w:val="left"/>
              <w:rPr>
                <w:sz w:val="18"/>
              </w:rPr>
            </w:pPr>
          </w:p>
        </w:tc>
        <w:tc>
          <w:tcPr>
            <w:tcW w:w="1313" w:type="dxa"/>
            <w:tcBorders>
              <w:top w:val="single" w:color="auto" w:sz="4" w:space="0"/>
              <w:left w:val="single" w:color="auto" w:sz="4" w:space="0"/>
              <w:bottom w:val="single" w:color="auto" w:sz="4" w:space="0"/>
              <w:right w:val="single" w:color="auto" w:sz="8" w:space="0"/>
            </w:tcBorders>
            <w:shd w:val="clear" w:color="auto" w:fill="auto"/>
            <w:vAlign w:val="center"/>
          </w:tcPr>
          <w:p w14:paraId="558EAA14">
            <w:pPr>
              <w:spacing w:line="240" w:lineRule="auto"/>
              <w:jc w:val="left"/>
              <w:rPr>
                <w:sz w:val="18"/>
              </w:rPr>
            </w:pPr>
          </w:p>
        </w:tc>
      </w:tr>
      <w:tr w14:paraId="3FA1EF3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462" w:type="dxa"/>
            <w:tcBorders>
              <w:top w:val="single" w:color="auto" w:sz="4" w:space="0"/>
              <w:left w:val="single" w:color="auto" w:sz="8" w:space="0"/>
              <w:bottom w:val="single" w:color="auto" w:sz="4" w:space="0"/>
              <w:right w:val="single" w:color="auto" w:sz="4" w:space="0"/>
            </w:tcBorders>
            <w:shd w:val="clear" w:color="auto" w:fill="auto"/>
            <w:vAlign w:val="center"/>
          </w:tcPr>
          <w:p w14:paraId="23348DF6">
            <w:pPr>
              <w:spacing w:line="240" w:lineRule="auto"/>
              <w:jc w:val="left"/>
              <w:rPr>
                <w:b/>
                <w:bCs/>
                <w:sz w:val="18"/>
              </w:rPr>
            </w:pPr>
            <w:r>
              <w:rPr>
                <w:rFonts w:hint="eastAsia"/>
                <w:b/>
                <w:bCs/>
                <w:sz w:val="18"/>
              </w:rPr>
              <w:t>装窑</w:t>
            </w:r>
          </w:p>
        </w:tc>
        <w:tc>
          <w:tcPr>
            <w:tcW w:w="2951" w:type="dxa"/>
            <w:tcBorders>
              <w:top w:val="single" w:color="auto" w:sz="4" w:space="0"/>
              <w:left w:val="single" w:color="auto" w:sz="4" w:space="0"/>
              <w:bottom w:val="single" w:color="auto" w:sz="4" w:space="0"/>
              <w:right w:val="single" w:color="auto" w:sz="4" w:space="0"/>
            </w:tcBorders>
            <w:shd w:val="clear" w:color="auto" w:fill="auto"/>
            <w:vAlign w:val="center"/>
          </w:tcPr>
          <w:p w14:paraId="3236E245">
            <w:pPr>
              <w:spacing w:line="240" w:lineRule="auto"/>
              <w:jc w:val="left"/>
              <w:rPr>
                <w:sz w:val="18"/>
              </w:rPr>
            </w:pPr>
          </w:p>
        </w:tc>
        <w:tc>
          <w:tcPr>
            <w:tcW w:w="1120" w:type="dxa"/>
            <w:tcBorders>
              <w:top w:val="single" w:color="auto" w:sz="4" w:space="0"/>
              <w:left w:val="single" w:color="auto" w:sz="4" w:space="0"/>
              <w:bottom w:val="single" w:color="auto" w:sz="4" w:space="0"/>
              <w:right w:val="single" w:color="auto" w:sz="4" w:space="0"/>
            </w:tcBorders>
            <w:shd w:val="clear" w:color="auto" w:fill="auto"/>
            <w:vAlign w:val="center"/>
          </w:tcPr>
          <w:p w14:paraId="7E934AFA">
            <w:pPr>
              <w:spacing w:line="240" w:lineRule="auto"/>
              <w:jc w:val="left"/>
              <w:rPr>
                <w:sz w:val="18"/>
              </w:rPr>
            </w:pPr>
          </w:p>
        </w:tc>
        <w:tc>
          <w:tcPr>
            <w:tcW w:w="1240" w:type="dxa"/>
            <w:tcBorders>
              <w:top w:val="single" w:color="auto" w:sz="4" w:space="0"/>
              <w:left w:val="single" w:color="auto" w:sz="4" w:space="0"/>
              <w:bottom w:val="single" w:color="auto" w:sz="4" w:space="0"/>
              <w:right w:val="single" w:color="auto" w:sz="4" w:space="0"/>
            </w:tcBorders>
            <w:shd w:val="clear" w:color="auto" w:fill="auto"/>
            <w:vAlign w:val="center"/>
          </w:tcPr>
          <w:p w14:paraId="73B057D2">
            <w:pPr>
              <w:spacing w:line="240" w:lineRule="auto"/>
              <w:jc w:val="left"/>
              <w:rPr>
                <w:sz w:val="18"/>
              </w:rPr>
            </w:pPr>
          </w:p>
        </w:tc>
        <w:tc>
          <w:tcPr>
            <w:tcW w:w="1180" w:type="dxa"/>
            <w:tcBorders>
              <w:top w:val="single" w:color="auto" w:sz="4" w:space="0"/>
              <w:left w:val="single" w:color="auto" w:sz="4" w:space="0"/>
              <w:bottom w:val="single" w:color="auto" w:sz="4" w:space="0"/>
              <w:right w:val="single" w:color="auto" w:sz="4" w:space="0"/>
            </w:tcBorders>
            <w:shd w:val="clear" w:color="auto" w:fill="auto"/>
            <w:vAlign w:val="center"/>
          </w:tcPr>
          <w:p w14:paraId="4F260EFF">
            <w:pPr>
              <w:spacing w:line="240" w:lineRule="auto"/>
              <w:jc w:val="left"/>
              <w:rPr>
                <w:sz w:val="18"/>
              </w:rPr>
            </w:pPr>
          </w:p>
        </w:tc>
        <w:tc>
          <w:tcPr>
            <w:tcW w:w="1313" w:type="dxa"/>
            <w:tcBorders>
              <w:top w:val="single" w:color="auto" w:sz="4" w:space="0"/>
              <w:left w:val="single" w:color="auto" w:sz="4" w:space="0"/>
              <w:bottom w:val="single" w:color="auto" w:sz="4" w:space="0"/>
              <w:right w:val="single" w:color="auto" w:sz="8" w:space="0"/>
            </w:tcBorders>
            <w:shd w:val="clear" w:color="auto" w:fill="auto"/>
            <w:vAlign w:val="center"/>
          </w:tcPr>
          <w:p w14:paraId="021A2249">
            <w:pPr>
              <w:spacing w:line="240" w:lineRule="auto"/>
              <w:jc w:val="left"/>
              <w:rPr>
                <w:sz w:val="18"/>
              </w:rPr>
            </w:pPr>
          </w:p>
        </w:tc>
      </w:tr>
      <w:tr w14:paraId="75ADDE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462" w:type="dxa"/>
            <w:tcBorders>
              <w:top w:val="single" w:color="auto" w:sz="4" w:space="0"/>
              <w:left w:val="single" w:color="auto" w:sz="8" w:space="0"/>
              <w:bottom w:val="single" w:color="auto" w:sz="4" w:space="0"/>
              <w:right w:val="single" w:color="auto" w:sz="4" w:space="0"/>
            </w:tcBorders>
            <w:shd w:val="clear" w:color="auto" w:fill="auto"/>
            <w:vAlign w:val="center"/>
          </w:tcPr>
          <w:p w14:paraId="4263AACA">
            <w:pPr>
              <w:spacing w:line="240" w:lineRule="auto"/>
              <w:jc w:val="left"/>
              <w:rPr>
                <w:b/>
                <w:bCs/>
                <w:sz w:val="18"/>
              </w:rPr>
            </w:pPr>
            <w:r>
              <w:rPr>
                <w:rFonts w:hint="eastAsia"/>
                <w:b/>
                <w:bCs/>
                <w:sz w:val="18"/>
              </w:rPr>
              <w:t>烧制</w:t>
            </w:r>
          </w:p>
        </w:tc>
        <w:tc>
          <w:tcPr>
            <w:tcW w:w="2951" w:type="dxa"/>
            <w:tcBorders>
              <w:top w:val="single" w:color="auto" w:sz="4" w:space="0"/>
              <w:left w:val="single" w:color="auto" w:sz="4" w:space="0"/>
              <w:bottom w:val="single" w:color="auto" w:sz="4" w:space="0"/>
              <w:right w:val="single" w:color="auto" w:sz="4" w:space="0"/>
            </w:tcBorders>
            <w:shd w:val="clear" w:color="auto" w:fill="auto"/>
            <w:vAlign w:val="center"/>
          </w:tcPr>
          <w:p w14:paraId="049BD7A3">
            <w:pPr>
              <w:spacing w:line="240" w:lineRule="auto"/>
              <w:jc w:val="left"/>
              <w:rPr>
                <w:sz w:val="18"/>
              </w:rPr>
            </w:pPr>
          </w:p>
        </w:tc>
        <w:tc>
          <w:tcPr>
            <w:tcW w:w="1120" w:type="dxa"/>
            <w:tcBorders>
              <w:top w:val="single" w:color="auto" w:sz="4" w:space="0"/>
              <w:left w:val="single" w:color="auto" w:sz="4" w:space="0"/>
              <w:bottom w:val="single" w:color="auto" w:sz="4" w:space="0"/>
              <w:right w:val="single" w:color="auto" w:sz="4" w:space="0"/>
            </w:tcBorders>
            <w:shd w:val="clear" w:color="auto" w:fill="auto"/>
            <w:vAlign w:val="center"/>
          </w:tcPr>
          <w:p w14:paraId="69AC29EE">
            <w:pPr>
              <w:spacing w:line="240" w:lineRule="auto"/>
              <w:jc w:val="left"/>
              <w:rPr>
                <w:sz w:val="18"/>
              </w:rPr>
            </w:pPr>
          </w:p>
        </w:tc>
        <w:tc>
          <w:tcPr>
            <w:tcW w:w="1240" w:type="dxa"/>
            <w:tcBorders>
              <w:top w:val="single" w:color="auto" w:sz="4" w:space="0"/>
              <w:left w:val="single" w:color="auto" w:sz="4" w:space="0"/>
              <w:bottom w:val="single" w:color="auto" w:sz="4" w:space="0"/>
              <w:right w:val="single" w:color="auto" w:sz="4" w:space="0"/>
            </w:tcBorders>
            <w:shd w:val="clear" w:color="auto" w:fill="auto"/>
            <w:vAlign w:val="center"/>
          </w:tcPr>
          <w:p w14:paraId="0CD185A0">
            <w:pPr>
              <w:spacing w:line="240" w:lineRule="auto"/>
              <w:jc w:val="left"/>
              <w:rPr>
                <w:sz w:val="18"/>
              </w:rPr>
            </w:pPr>
          </w:p>
        </w:tc>
        <w:tc>
          <w:tcPr>
            <w:tcW w:w="1180" w:type="dxa"/>
            <w:tcBorders>
              <w:top w:val="single" w:color="auto" w:sz="4" w:space="0"/>
              <w:left w:val="single" w:color="auto" w:sz="4" w:space="0"/>
              <w:bottom w:val="single" w:color="auto" w:sz="4" w:space="0"/>
              <w:right w:val="single" w:color="auto" w:sz="4" w:space="0"/>
            </w:tcBorders>
            <w:shd w:val="clear" w:color="auto" w:fill="auto"/>
            <w:vAlign w:val="center"/>
          </w:tcPr>
          <w:p w14:paraId="5D000FC2">
            <w:pPr>
              <w:spacing w:line="240" w:lineRule="auto"/>
              <w:jc w:val="left"/>
              <w:rPr>
                <w:sz w:val="18"/>
              </w:rPr>
            </w:pPr>
          </w:p>
        </w:tc>
        <w:tc>
          <w:tcPr>
            <w:tcW w:w="1313" w:type="dxa"/>
            <w:tcBorders>
              <w:top w:val="single" w:color="auto" w:sz="4" w:space="0"/>
              <w:left w:val="single" w:color="auto" w:sz="4" w:space="0"/>
              <w:bottom w:val="single" w:color="auto" w:sz="4" w:space="0"/>
              <w:right w:val="single" w:color="auto" w:sz="8" w:space="0"/>
            </w:tcBorders>
            <w:shd w:val="clear" w:color="auto" w:fill="auto"/>
            <w:vAlign w:val="center"/>
          </w:tcPr>
          <w:p w14:paraId="66696E00">
            <w:pPr>
              <w:spacing w:line="240" w:lineRule="auto"/>
              <w:jc w:val="left"/>
              <w:rPr>
                <w:sz w:val="18"/>
              </w:rPr>
            </w:pPr>
          </w:p>
        </w:tc>
      </w:tr>
      <w:tr w14:paraId="206B41A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462" w:type="dxa"/>
            <w:tcBorders>
              <w:top w:val="single" w:color="auto" w:sz="4" w:space="0"/>
              <w:left w:val="single" w:color="auto" w:sz="8" w:space="0"/>
              <w:bottom w:val="single" w:color="auto" w:sz="4" w:space="0"/>
              <w:right w:val="single" w:color="auto" w:sz="4" w:space="0"/>
            </w:tcBorders>
            <w:shd w:val="clear" w:color="auto" w:fill="auto"/>
            <w:vAlign w:val="center"/>
          </w:tcPr>
          <w:p w14:paraId="2A47430B">
            <w:pPr>
              <w:spacing w:line="240" w:lineRule="auto"/>
              <w:jc w:val="left"/>
              <w:rPr>
                <w:sz w:val="18"/>
              </w:rPr>
            </w:pPr>
            <w:r>
              <w:rPr>
                <w:rFonts w:hint="eastAsia"/>
                <w:sz w:val="18"/>
              </w:rPr>
              <w:t>坯体入窑</w:t>
            </w:r>
          </w:p>
        </w:tc>
        <w:tc>
          <w:tcPr>
            <w:tcW w:w="2951" w:type="dxa"/>
            <w:tcBorders>
              <w:top w:val="single" w:color="auto" w:sz="4" w:space="0"/>
              <w:left w:val="single" w:color="auto" w:sz="4" w:space="0"/>
              <w:bottom w:val="single" w:color="auto" w:sz="4" w:space="0"/>
              <w:right w:val="single" w:color="auto" w:sz="4" w:space="0"/>
            </w:tcBorders>
            <w:shd w:val="clear" w:color="auto" w:fill="auto"/>
            <w:vAlign w:val="center"/>
          </w:tcPr>
          <w:p w14:paraId="0AE3C801">
            <w:pPr>
              <w:spacing w:line="240" w:lineRule="auto"/>
              <w:jc w:val="left"/>
              <w:rPr>
                <w:sz w:val="18"/>
              </w:rPr>
            </w:pPr>
          </w:p>
        </w:tc>
        <w:tc>
          <w:tcPr>
            <w:tcW w:w="1120" w:type="dxa"/>
            <w:tcBorders>
              <w:top w:val="single" w:color="auto" w:sz="4" w:space="0"/>
              <w:left w:val="single" w:color="auto" w:sz="4" w:space="0"/>
              <w:bottom w:val="single" w:color="auto" w:sz="4" w:space="0"/>
              <w:right w:val="single" w:color="auto" w:sz="4" w:space="0"/>
            </w:tcBorders>
            <w:shd w:val="clear" w:color="auto" w:fill="auto"/>
            <w:vAlign w:val="center"/>
          </w:tcPr>
          <w:p w14:paraId="5F7C7B05">
            <w:pPr>
              <w:spacing w:line="240" w:lineRule="auto"/>
              <w:jc w:val="left"/>
              <w:rPr>
                <w:sz w:val="18"/>
              </w:rPr>
            </w:pPr>
          </w:p>
        </w:tc>
        <w:tc>
          <w:tcPr>
            <w:tcW w:w="1240" w:type="dxa"/>
            <w:tcBorders>
              <w:top w:val="single" w:color="auto" w:sz="4" w:space="0"/>
              <w:left w:val="single" w:color="auto" w:sz="4" w:space="0"/>
              <w:bottom w:val="single" w:color="auto" w:sz="4" w:space="0"/>
              <w:right w:val="single" w:color="auto" w:sz="4" w:space="0"/>
            </w:tcBorders>
            <w:shd w:val="clear" w:color="auto" w:fill="auto"/>
            <w:vAlign w:val="center"/>
          </w:tcPr>
          <w:p w14:paraId="4588528C">
            <w:pPr>
              <w:spacing w:line="240" w:lineRule="auto"/>
              <w:jc w:val="left"/>
              <w:rPr>
                <w:sz w:val="18"/>
              </w:rPr>
            </w:pPr>
          </w:p>
        </w:tc>
        <w:tc>
          <w:tcPr>
            <w:tcW w:w="1180" w:type="dxa"/>
            <w:tcBorders>
              <w:top w:val="single" w:color="auto" w:sz="4" w:space="0"/>
              <w:left w:val="single" w:color="auto" w:sz="4" w:space="0"/>
              <w:bottom w:val="single" w:color="auto" w:sz="4" w:space="0"/>
              <w:right w:val="single" w:color="auto" w:sz="4" w:space="0"/>
            </w:tcBorders>
            <w:shd w:val="clear" w:color="auto" w:fill="auto"/>
            <w:vAlign w:val="center"/>
          </w:tcPr>
          <w:p w14:paraId="19D395A2">
            <w:pPr>
              <w:spacing w:line="240" w:lineRule="auto"/>
              <w:jc w:val="left"/>
              <w:rPr>
                <w:sz w:val="18"/>
              </w:rPr>
            </w:pPr>
          </w:p>
        </w:tc>
        <w:tc>
          <w:tcPr>
            <w:tcW w:w="1313" w:type="dxa"/>
            <w:tcBorders>
              <w:top w:val="single" w:color="auto" w:sz="4" w:space="0"/>
              <w:left w:val="single" w:color="auto" w:sz="4" w:space="0"/>
              <w:bottom w:val="single" w:color="auto" w:sz="4" w:space="0"/>
              <w:right w:val="single" w:color="auto" w:sz="8" w:space="0"/>
            </w:tcBorders>
            <w:shd w:val="clear" w:color="auto" w:fill="auto"/>
            <w:vAlign w:val="center"/>
          </w:tcPr>
          <w:p w14:paraId="65203A58">
            <w:pPr>
              <w:spacing w:line="240" w:lineRule="auto"/>
              <w:jc w:val="left"/>
              <w:rPr>
                <w:sz w:val="18"/>
              </w:rPr>
            </w:pPr>
          </w:p>
        </w:tc>
      </w:tr>
      <w:tr w14:paraId="30BA74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462" w:type="dxa"/>
            <w:tcBorders>
              <w:top w:val="single" w:color="auto" w:sz="4" w:space="0"/>
              <w:left w:val="single" w:color="auto" w:sz="8" w:space="0"/>
              <w:bottom w:val="single" w:color="auto" w:sz="4" w:space="0"/>
              <w:right w:val="single" w:color="auto" w:sz="4" w:space="0"/>
            </w:tcBorders>
            <w:shd w:val="clear" w:color="auto" w:fill="auto"/>
            <w:vAlign w:val="center"/>
          </w:tcPr>
          <w:p w14:paraId="4DC24490">
            <w:pPr>
              <w:spacing w:line="240" w:lineRule="auto"/>
              <w:jc w:val="left"/>
              <w:rPr>
                <w:sz w:val="18"/>
              </w:rPr>
            </w:pPr>
            <w:r>
              <w:rPr>
                <w:rFonts w:hint="eastAsia"/>
                <w:sz w:val="18"/>
              </w:rPr>
              <w:t>启动设备</w:t>
            </w:r>
          </w:p>
        </w:tc>
        <w:tc>
          <w:tcPr>
            <w:tcW w:w="2951" w:type="dxa"/>
            <w:tcBorders>
              <w:top w:val="single" w:color="auto" w:sz="4" w:space="0"/>
              <w:left w:val="single" w:color="auto" w:sz="4" w:space="0"/>
              <w:bottom w:val="single" w:color="auto" w:sz="4" w:space="0"/>
              <w:right w:val="single" w:color="auto" w:sz="4" w:space="0"/>
            </w:tcBorders>
            <w:shd w:val="clear" w:color="auto" w:fill="auto"/>
            <w:vAlign w:val="center"/>
          </w:tcPr>
          <w:p w14:paraId="30CD1830">
            <w:pPr>
              <w:spacing w:line="240" w:lineRule="auto"/>
              <w:jc w:val="left"/>
              <w:rPr>
                <w:sz w:val="18"/>
              </w:rPr>
            </w:pPr>
          </w:p>
        </w:tc>
        <w:tc>
          <w:tcPr>
            <w:tcW w:w="1120" w:type="dxa"/>
            <w:tcBorders>
              <w:top w:val="single" w:color="auto" w:sz="4" w:space="0"/>
              <w:left w:val="single" w:color="auto" w:sz="4" w:space="0"/>
              <w:bottom w:val="single" w:color="auto" w:sz="4" w:space="0"/>
              <w:right w:val="single" w:color="auto" w:sz="4" w:space="0"/>
            </w:tcBorders>
            <w:shd w:val="clear" w:color="auto" w:fill="auto"/>
            <w:vAlign w:val="center"/>
          </w:tcPr>
          <w:p w14:paraId="4725B50A">
            <w:pPr>
              <w:spacing w:line="240" w:lineRule="auto"/>
              <w:jc w:val="left"/>
              <w:rPr>
                <w:sz w:val="18"/>
              </w:rPr>
            </w:pPr>
          </w:p>
        </w:tc>
        <w:tc>
          <w:tcPr>
            <w:tcW w:w="1240" w:type="dxa"/>
            <w:tcBorders>
              <w:top w:val="single" w:color="auto" w:sz="4" w:space="0"/>
              <w:left w:val="single" w:color="auto" w:sz="4" w:space="0"/>
              <w:bottom w:val="single" w:color="auto" w:sz="4" w:space="0"/>
              <w:right w:val="single" w:color="auto" w:sz="4" w:space="0"/>
            </w:tcBorders>
            <w:shd w:val="clear" w:color="auto" w:fill="auto"/>
            <w:vAlign w:val="center"/>
          </w:tcPr>
          <w:p w14:paraId="0C9F250A">
            <w:pPr>
              <w:spacing w:line="240" w:lineRule="auto"/>
              <w:jc w:val="left"/>
              <w:rPr>
                <w:sz w:val="18"/>
              </w:rPr>
            </w:pPr>
          </w:p>
        </w:tc>
        <w:tc>
          <w:tcPr>
            <w:tcW w:w="1180" w:type="dxa"/>
            <w:tcBorders>
              <w:top w:val="single" w:color="auto" w:sz="4" w:space="0"/>
              <w:left w:val="single" w:color="auto" w:sz="4" w:space="0"/>
              <w:bottom w:val="single" w:color="auto" w:sz="4" w:space="0"/>
              <w:right w:val="single" w:color="auto" w:sz="4" w:space="0"/>
            </w:tcBorders>
            <w:shd w:val="clear" w:color="auto" w:fill="auto"/>
            <w:vAlign w:val="center"/>
          </w:tcPr>
          <w:p w14:paraId="505CB365">
            <w:pPr>
              <w:spacing w:line="240" w:lineRule="auto"/>
              <w:jc w:val="left"/>
              <w:rPr>
                <w:sz w:val="18"/>
              </w:rPr>
            </w:pPr>
          </w:p>
        </w:tc>
        <w:tc>
          <w:tcPr>
            <w:tcW w:w="1313" w:type="dxa"/>
            <w:tcBorders>
              <w:top w:val="single" w:color="auto" w:sz="4" w:space="0"/>
              <w:left w:val="single" w:color="auto" w:sz="4" w:space="0"/>
              <w:bottom w:val="single" w:color="auto" w:sz="4" w:space="0"/>
              <w:right w:val="single" w:color="auto" w:sz="8" w:space="0"/>
            </w:tcBorders>
            <w:shd w:val="clear" w:color="auto" w:fill="auto"/>
            <w:vAlign w:val="center"/>
          </w:tcPr>
          <w:p w14:paraId="0F5AFD77">
            <w:pPr>
              <w:spacing w:line="240" w:lineRule="auto"/>
              <w:jc w:val="left"/>
              <w:rPr>
                <w:sz w:val="18"/>
              </w:rPr>
            </w:pPr>
          </w:p>
        </w:tc>
      </w:tr>
      <w:tr w14:paraId="6818EE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462" w:type="dxa"/>
            <w:tcBorders>
              <w:top w:val="single" w:color="auto" w:sz="4" w:space="0"/>
              <w:left w:val="single" w:color="auto" w:sz="8" w:space="0"/>
              <w:bottom w:val="single" w:color="auto" w:sz="4" w:space="0"/>
              <w:right w:val="single" w:color="auto" w:sz="4" w:space="0"/>
            </w:tcBorders>
            <w:shd w:val="clear" w:color="auto" w:fill="auto"/>
            <w:vAlign w:val="center"/>
          </w:tcPr>
          <w:p w14:paraId="7C163982">
            <w:pPr>
              <w:spacing w:line="240" w:lineRule="auto"/>
              <w:jc w:val="left"/>
              <w:rPr>
                <w:sz w:val="18"/>
              </w:rPr>
            </w:pPr>
            <w:r>
              <w:rPr>
                <w:rFonts w:hint="eastAsia"/>
                <w:sz w:val="18"/>
              </w:rPr>
              <w:t>过程监控</w:t>
            </w:r>
          </w:p>
        </w:tc>
        <w:tc>
          <w:tcPr>
            <w:tcW w:w="2951" w:type="dxa"/>
            <w:tcBorders>
              <w:top w:val="single" w:color="auto" w:sz="4" w:space="0"/>
              <w:left w:val="single" w:color="auto" w:sz="4" w:space="0"/>
              <w:bottom w:val="single" w:color="auto" w:sz="4" w:space="0"/>
              <w:right w:val="single" w:color="auto" w:sz="4" w:space="0"/>
            </w:tcBorders>
            <w:shd w:val="clear" w:color="auto" w:fill="auto"/>
            <w:vAlign w:val="center"/>
          </w:tcPr>
          <w:p w14:paraId="7BA92CD4">
            <w:pPr>
              <w:spacing w:line="240" w:lineRule="auto"/>
              <w:jc w:val="left"/>
              <w:rPr>
                <w:sz w:val="18"/>
              </w:rPr>
            </w:pPr>
          </w:p>
        </w:tc>
        <w:tc>
          <w:tcPr>
            <w:tcW w:w="1120" w:type="dxa"/>
            <w:tcBorders>
              <w:top w:val="single" w:color="auto" w:sz="4" w:space="0"/>
              <w:left w:val="single" w:color="auto" w:sz="4" w:space="0"/>
              <w:bottom w:val="single" w:color="auto" w:sz="4" w:space="0"/>
              <w:right w:val="single" w:color="auto" w:sz="4" w:space="0"/>
            </w:tcBorders>
            <w:shd w:val="clear" w:color="auto" w:fill="auto"/>
            <w:vAlign w:val="center"/>
          </w:tcPr>
          <w:p w14:paraId="2429C3EB">
            <w:pPr>
              <w:spacing w:line="240" w:lineRule="auto"/>
              <w:jc w:val="left"/>
              <w:rPr>
                <w:sz w:val="18"/>
              </w:rPr>
            </w:pPr>
          </w:p>
        </w:tc>
        <w:tc>
          <w:tcPr>
            <w:tcW w:w="1240" w:type="dxa"/>
            <w:tcBorders>
              <w:top w:val="single" w:color="auto" w:sz="4" w:space="0"/>
              <w:left w:val="single" w:color="auto" w:sz="4" w:space="0"/>
              <w:bottom w:val="single" w:color="auto" w:sz="4" w:space="0"/>
              <w:right w:val="single" w:color="auto" w:sz="4" w:space="0"/>
            </w:tcBorders>
            <w:shd w:val="clear" w:color="auto" w:fill="auto"/>
            <w:vAlign w:val="center"/>
          </w:tcPr>
          <w:p w14:paraId="714DCE6F">
            <w:pPr>
              <w:spacing w:line="240" w:lineRule="auto"/>
              <w:jc w:val="left"/>
              <w:rPr>
                <w:sz w:val="18"/>
              </w:rPr>
            </w:pPr>
          </w:p>
        </w:tc>
        <w:tc>
          <w:tcPr>
            <w:tcW w:w="1180" w:type="dxa"/>
            <w:tcBorders>
              <w:top w:val="single" w:color="auto" w:sz="4" w:space="0"/>
              <w:left w:val="single" w:color="auto" w:sz="4" w:space="0"/>
              <w:bottom w:val="single" w:color="auto" w:sz="4" w:space="0"/>
              <w:right w:val="single" w:color="auto" w:sz="4" w:space="0"/>
            </w:tcBorders>
            <w:shd w:val="clear" w:color="auto" w:fill="auto"/>
            <w:vAlign w:val="center"/>
          </w:tcPr>
          <w:p w14:paraId="50F55DC7">
            <w:pPr>
              <w:spacing w:line="240" w:lineRule="auto"/>
              <w:jc w:val="left"/>
              <w:rPr>
                <w:sz w:val="18"/>
              </w:rPr>
            </w:pPr>
          </w:p>
        </w:tc>
        <w:tc>
          <w:tcPr>
            <w:tcW w:w="1313" w:type="dxa"/>
            <w:tcBorders>
              <w:top w:val="single" w:color="auto" w:sz="4" w:space="0"/>
              <w:left w:val="single" w:color="auto" w:sz="4" w:space="0"/>
              <w:bottom w:val="single" w:color="auto" w:sz="4" w:space="0"/>
              <w:right w:val="single" w:color="auto" w:sz="8" w:space="0"/>
            </w:tcBorders>
            <w:shd w:val="clear" w:color="auto" w:fill="auto"/>
            <w:vAlign w:val="center"/>
          </w:tcPr>
          <w:p w14:paraId="701B7308">
            <w:pPr>
              <w:spacing w:line="240" w:lineRule="auto"/>
              <w:jc w:val="left"/>
              <w:rPr>
                <w:sz w:val="18"/>
              </w:rPr>
            </w:pPr>
          </w:p>
        </w:tc>
      </w:tr>
      <w:tr w14:paraId="3CF67C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462" w:type="dxa"/>
            <w:tcBorders>
              <w:top w:val="single" w:color="auto" w:sz="4" w:space="0"/>
              <w:left w:val="single" w:color="auto" w:sz="8" w:space="0"/>
              <w:bottom w:val="single" w:color="auto" w:sz="4" w:space="0"/>
              <w:right w:val="single" w:color="auto" w:sz="4" w:space="0"/>
            </w:tcBorders>
            <w:shd w:val="clear" w:color="auto" w:fill="auto"/>
            <w:vAlign w:val="center"/>
          </w:tcPr>
          <w:p w14:paraId="1F8809C8">
            <w:pPr>
              <w:spacing w:line="240" w:lineRule="auto"/>
              <w:jc w:val="left"/>
              <w:rPr>
                <w:sz w:val="18"/>
              </w:rPr>
            </w:pPr>
            <w:r>
              <w:rPr>
                <w:rFonts w:hint="eastAsia"/>
                <w:sz w:val="18"/>
              </w:rPr>
              <w:t>烧制完成</w:t>
            </w:r>
          </w:p>
        </w:tc>
        <w:tc>
          <w:tcPr>
            <w:tcW w:w="2951" w:type="dxa"/>
            <w:tcBorders>
              <w:top w:val="single" w:color="auto" w:sz="4" w:space="0"/>
              <w:left w:val="single" w:color="auto" w:sz="4" w:space="0"/>
              <w:bottom w:val="single" w:color="auto" w:sz="4" w:space="0"/>
              <w:right w:val="single" w:color="auto" w:sz="4" w:space="0"/>
            </w:tcBorders>
            <w:shd w:val="clear" w:color="auto" w:fill="auto"/>
            <w:vAlign w:val="center"/>
          </w:tcPr>
          <w:p w14:paraId="40EC0F54">
            <w:pPr>
              <w:spacing w:line="240" w:lineRule="auto"/>
              <w:jc w:val="left"/>
              <w:rPr>
                <w:sz w:val="18"/>
              </w:rPr>
            </w:pPr>
          </w:p>
        </w:tc>
        <w:tc>
          <w:tcPr>
            <w:tcW w:w="1120" w:type="dxa"/>
            <w:tcBorders>
              <w:top w:val="single" w:color="auto" w:sz="4" w:space="0"/>
              <w:left w:val="single" w:color="auto" w:sz="4" w:space="0"/>
              <w:bottom w:val="single" w:color="auto" w:sz="4" w:space="0"/>
              <w:right w:val="single" w:color="auto" w:sz="4" w:space="0"/>
            </w:tcBorders>
            <w:shd w:val="clear" w:color="auto" w:fill="auto"/>
            <w:vAlign w:val="center"/>
          </w:tcPr>
          <w:p w14:paraId="3B14E2E8">
            <w:pPr>
              <w:spacing w:line="240" w:lineRule="auto"/>
              <w:jc w:val="left"/>
              <w:rPr>
                <w:sz w:val="18"/>
              </w:rPr>
            </w:pPr>
          </w:p>
        </w:tc>
        <w:tc>
          <w:tcPr>
            <w:tcW w:w="1240" w:type="dxa"/>
            <w:tcBorders>
              <w:top w:val="single" w:color="auto" w:sz="4" w:space="0"/>
              <w:left w:val="single" w:color="auto" w:sz="4" w:space="0"/>
              <w:bottom w:val="single" w:color="auto" w:sz="4" w:space="0"/>
              <w:right w:val="single" w:color="auto" w:sz="4" w:space="0"/>
            </w:tcBorders>
            <w:shd w:val="clear" w:color="auto" w:fill="auto"/>
            <w:vAlign w:val="center"/>
          </w:tcPr>
          <w:p w14:paraId="2B51AC82">
            <w:pPr>
              <w:spacing w:line="240" w:lineRule="auto"/>
              <w:jc w:val="left"/>
              <w:rPr>
                <w:sz w:val="18"/>
              </w:rPr>
            </w:pPr>
          </w:p>
        </w:tc>
        <w:tc>
          <w:tcPr>
            <w:tcW w:w="1180" w:type="dxa"/>
            <w:tcBorders>
              <w:top w:val="single" w:color="auto" w:sz="4" w:space="0"/>
              <w:left w:val="single" w:color="auto" w:sz="4" w:space="0"/>
              <w:bottom w:val="single" w:color="auto" w:sz="4" w:space="0"/>
              <w:right w:val="single" w:color="auto" w:sz="4" w:space="0"/>
            </w:tcBorders>
            <w:shd w:val="clear" w:color="auto" w:fill="auto"/>
            <w:vAlign w:val="center"/>
          </w:tcPr>
          <w:p w14:paraId="7753C2FA">
            <w:pPr>
              <w:spacing w:line="240" w:lineRule="auto"/>
              <w:jc w:val="left"/>
              <w:rPr>
                <w:sz w:val="18"/>
              </w:rPr>
            </w:pPr>
          </w:p>
        </w:tc>
        <w:tc>
          <w:tcPr>
            <w:tcW w:w="1313" w:type="dxa"/>
            <w:tcBorders>
              <w:top w:val="single" w:color="auto" w:sz="4" w:space="0"/>
              <w:left w:val="single" w:color="auto" w:sz="4" w:space="0"/>
              <w:bottom w:val="single" w:color="auto" w:sz="4" w:space="0"/>
              <w:right w:val="single" w:color="auto" w:sz="8" w:space="0"/>
            </w:tcBorders>
            <w:shd w:val="clear" w:color="auto" w:fill="auto"/>
            <w:vAlign w:val="center"/>
          </w:tcPr>
          <w:p w14:paraId="636BE329">
            <w:pPr>
              <w:spacing w:line="240" w:lineRule="auto"/>
              <w:jc w:val="left"/>
              <w:rPr>
                <w:sz w:val="18"/>
              </w:rPr>
            </w:pPr>
          </w:p>
        </w:tc>
      </w:tr>
      <w:tr w14:paraId="085DB2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462" w:type="dxa"/>
            <w:tcBorders>
              <w:top w:val="single" w:color="auto" w:sz="4" w:space="0"/>
              <w:left w:val="single" w:color="auto" w:sz="8" w:space="0"/>
              <w:bottom w:val="single" w:color="auto" w:sz="4" w:space="0"/>
              <w:right w:val="single" w:color="auto" w:sz="4" w:space="0"/>
            </w:tcBorders>
            <w:shd w:val="clear" w:color="auto" w:fill="auto"/>
            <w:vAlign w:val="center"/>
          </w:tcPr>
          <w:p w14:paraId="5723728D">
            <w:pPr>
              <w:spacing w:line="240" w:lineRule="auto"/>
              <w:jc w:val="left"/>
              <w:rPr>
                <w:sz w:val="18"/>
              </w:rPr>
            </w:pPr>
            <w:r>
              <w:rPr>
                <w:rFonts w:hint="eastAsia"/>
                <w:sz w:val="18"/>
              </w:rPr>
              <w:t>坯体出窑</w:t>
            </w:r>
          </w:p>
        </w:tc>
        <w:tc>
          <w:tcPr>
            <w:tcW w:w="2951" w:type="dxa"/>
            <w:tcBorders>
              <w:top w:val="single" w:color="auto" w:sz="4" w:space="0"/>
              <w:left w:val="single" w:color="auto" w:sz="4" w:space="0"/>
              <w:bottom w:val="single" w:color="auto" w:sz="4" w:space="0"/>
              <w:right w:val="single" w:color="auto" w:sz="4" w:space="0"/>
            </w:tcBorders>
            <w:shd w:val="clear" w:color="auto" w:fill="auto"/>
            <w:vAlign w:val="center"/>
          </w:tcPr>
          <w:p w14:paraId="05EE7EFE">
            <w:pPr>
              <w:spacing w:line="240" w:lineRule="auto"/>
              <w:jc w:val="left"/>
              <w:rPr>
                <w:sz w:val="18"/>
              </w:rPr>
            </w:pPr>
          </w:p>
        </w:tc>
        <w:tc>
          <w:tcPr>
            <w:tcW w:w="1120" w:type="dxa"/>
            <w:tcBorders>
              <w:top w:val="single" w:color="auto" w:sz="4" w:space="0"/>
              <w:left w:val="single" w:color="auto" w:sz="4" w:space="0"/>
              <w:bottom w:val="single" w:color="auto" w:sz="4" w:space="0"/>
              <w:right w:val="single" w:color="auto" w:sz="4" w:space="0"/>
            </w:tcBorders>
            <w:shd w:val="clear" w:color="auto" w:fill="auto"/>
            <w:vAlign w:val="center"/>
          </w:tcPr>
          <w:p w14:paraId="298A7BBD">
            <w:pPr>
              <w:spacing w:line="240" w:lineRule="auto"/>
              <w:jc w:val="left"/>
              <w:rPr>
                <w:sz w:val="18"/>
              </w:rPr>
            </w:pPr>
          </w:p>
        </w:tc>
        <w:tc>
          <w:tcPr>
            <w:tcW w:w="1240" w:type="dxa"/>
            <w:tcBorders>
              <w:top w:val="single" w:color="auto" w:sz="4" w:space="0"/>
              <w:left w:val="single" w:color="auto" w:sz="4" w:space="0"/>
              <w:bottom w:val="single" w:color="auto" w:sz="4" w:space="0"/>
              <w:right w:val="single" w:color="auto" w:sz="4" w:space="0"/>
            </w:tcBorders>
            <w:shd w:val="clear" w:color="auto" w:fill="auto"/>
            <w:vAlign w:val="center"/>
          </w:tcPr>
          <w:p w14:paraId="40B9D49B">
            <w:pPr>
              <w:spacing w:line="240" w:lineRule="auto"/>
              <w:jc w:val="left"/>
              <w:rPr>
                <w:sz w:val="18"/>
              </w:rPr>
            </w:pPr>
          </w:p>
        </w:tc>
        <w:tc>
          <w:tcPr>
            <w:tcW w:w="1180" w:type="dxa"/>
            <w:tcBorders>
              <w:top w:val="single" w:color="auto" w:sz="4" w:space="0"/>
              <w:left w:val="single" w:color="auto" w:sz="4" w:space="0"/>
              <w:bottom w:val="single" w:color="auto" w:sz="4" w:space="0"/>
              <w:right w:val="single" w:color="auto" w:sz="4" w:space="0"/>
            </w:tcBorders>
            <w:shd w:val="clear" w:color="auto" w:fill="auto"/>
            <w:vAlign w:val="center"/>
          </w:tcPr>
          <w:p w14:paraId="341E1B12">
            <w:pPr>
              <w:spacing w:line="240" w:lineRule="auto"/>
              <w:jc w:val="left"/>
              <w:rPr>
                <w:sz w:val="18"/>
              </w:rPr>
            </w:pPr>
          </w:p>
        </w:tc>
        <w:tc>
          <w:tcPr>
            <w:tcW w:w="1313" w:type="dxa"/>
            <w:tcBorders>
              <w:top w:val="single" w:color="auto" w:sz="4" w:space="0"/>
              <w:left w:val="single" w:color="auto" w:sz="4" w:space="0"/>
              <w:bottom w:val="single" w:color="auto" w:sz="4" w:space="0"/>
              <w:right w:val="single" w:color="auto" w:sz="8" w:space="0"/>
            </w:tcBorders>
            <w:shd w:val="clear" w:color="auto" w:fill="auto"/>
            <w:vAlign w:val="center"/>
          </w:tcPr>
          <w:p w14:paraId="02015670">
            <w:pPr>
              <w:spacing w:line="240" w:lineRule="auto"/>
              <w:jc w:val="left"/>
              <w:rPr>
                <w:sz w:val="18"/>
              </w:rPr>
            </w:pPr>
          </w:p>
        </w:tc>
      </w:tr>
      <w:tr w14:paraId="61269C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462" w:type="dxa"/>
            <w:tcBorders>
              <w:top w:val="single" w:color="auto" w:sz="4" w:space="0"/>
              <w:left w:val="single" w:color="auto" w:sz="8" w:space="0"/>
              <w:bottom w:val="single" w:color="auto" w:sz="4" w:space="0"/>
              <w:right w:val="single" w:color="auto" w:sz="4" w:space="0"/>
            </w:tcBorders>
            <w:shd w:val="clear" w:color="auto" w:fill="auto"/>
            <w:vAlign w:val="center"/>
          </w:tcPr>
          <w:p w14:paraId="0D939C42">
            <w:pPr>
              <w:spacing w:line="240" w:lineRule="auto"/>
              <w:jc w:val="left"/>
              <w:rPr>
                <w:sz w:val="18"/>
              </w:rPr>
            </w:pPr>
            <w:r>
              <w:rPr>
                <w:rFonts w:hint="eastAsia" w:ascii="宋体" w:hAnsi="宋体" w:cs="宋体"/>
                <w:b/>
                <w:bCs/>
                <w:sz w:val="18"/>
                <w:lang w:bidi="ar"/>
              </w:rPr>
              <w:t>非遗记录</w:t>
            </w:r>
          </w:p>
        </w:tc>
        <w:tc>
          <w:tcPr>
            <w:tcW w:w="2951" w:type="dxa"/>
            <w:tcBorders>
              <w:top w:val="single" w:color="auto" w:sz="4" w:space="0"/>
              <w:left w:val="single" w:color="auto" w:sz="4" w:space="0"/>
              <w:bottom w:val="single" w:color="auto" w:sz="4" w:space="0"/>
              <w:right w:val="single" w:color="auto" w:sz="4" w:space="0"/>
            </w:tcBorders>
            <w:shd w:val="clear" w:color="auto" w:fill="auto"/>
            <w:vAlign w:val="center"/>
          </w:tcPr>
          <w:p w14:paraId="72DE361A">
            <w:pPr>
              <w:spacing w:line="240" w:lineRule="auto"/>
              <w:jc w:val="left"/>
              <w:rPr>
                <w:sz w:val="18"/>
              </w:rPr>
            </w:pPr>
          </w:p>
        </w:tc>
        <w:tc>
          <w:tcPr>
            <w:tcW w:w="1120" w:type="dxa"/>
            <w:tcBorders>
              <w:top w:val="single" w:color="auto" w:sz="4" w:space="0"/>
              <w:left w:val="single" w:color="auto" w:sz="4" w:space="0"/>
              <w:bottom w:val="single" w:color="auto" w:sz="4" w:space="0"/>
              <w:right w:val="single" w:color="auto" w:sz="4" w:space="0"/>
            </w:tcBorders>
            <w:shd w:val="clear" w:color="auto" w:fill="auto"/>
            <w:vAlign w:val="center"/>
          </w:tcPr>
          <w:p w14:paraId="51CE85DB">
            <w:pPr>
              <w:spacing w:line="240" w:lineRule="auto"/>
              <w:jc w:val="left"/>
              <w:rPr>
                <w:sz w:val="18"/>
              </w:rPr>
            </w:pPr>
          </w:p>
        </w:tc>
        <w:tc>
          <w:tcPr>
            <w:tcW w:w="1240" w:type="dxa"/>
            <w:tcBorders>
              <w:top w:val="single" w:color="auto" w:sz="4" w:space="0"/>
              <w:left w:val="single" w:color="auto" w:sz="4" w:space="0"/>
              <w:bottom w:val="single" w:color="auto" w:sz="4" w:space="0"/>
              <w:right w:val="single" w:color="auto" w:sz="4" w:space="0"/>
            </w:tcBorders>
            <w:shd w:val="clear" w:color="auto" w:fill="auto"/>
            <w:vAlign w:val="center"/>
          </w:tcPr>
          <w:p w14:paraId="7AF21545">
            <w:pPr>
              <w:spacing w:line="240" w:lineRule="auto"/>
              <w:jc w:val="left"/>
              <w:rPr>
                <w:sz w:val="18"/>
              </w:rPr>
            </w:pPr>
          </w:p>
        </w:tc>
        <w:tc>
          <w:tcPr>
            <w:tcW w:w="1180" w:type="dxa"/>
            <w:tcBorders>
              <w:top w:val="single" w:color="auto" w:sz="4" w:space="0"/>
              <w:left w:val="single" w:color="auto" w:sz="4" w:space="0"/>
              <w:bottom w:val="single" w:color="auto" w:sz="4" w:space="0"/>
              <w:right w:val="single" w:color="auto" w:sz="4" w:space="0"/>
            </w:tcBorders>
            <w:shd w:val="clear" w:color="auto" w:fill="auto"/>
            <w:vAlign w:val="center"/>
          </w:tcPr>
          <w:p w14:paraId="3426FBCB">
            <w:pPr>
              <w:spacing w:line="240" w:lineRule="auto"/>
              <w:jc w:val="left"/>
              <w:rPr>
                <w:sz w:val="18"/>
              </w:rPr>
            </w:pPr>
          </w:p>
        </w:tc>
        <w:tc>
          <w:tcPr>
            <w:tcW w:w="1313" w:type="dxa"/>
            <w:tcBorders>
              <w:top w:val="single" w:color="auto" w:sz="4" w:space="0"/>
              <w:left w:val="single" w:color="auto" w:sz="4" w:space="0"/>
              <w:bottom w:val="single" w:color="auto" w:sz="4" w:space="0"/>
              <w:right w:val="single" w:color="auto" w:sz="8" w:space="0"/>
            </w:tcBorders>
            <w:shd w:val="clear" w:color="auto" w:fill="auto"/>
            <w:vAlign w:val="center"/>
          </w:tcPr>
          <w:p w14:paraId="56965ACF">
            <w:pPr>
              <w:spacing w:line="240" w:lineRule="auto"/>
              <w:jc w:val="left"/>
              <w:rPr>
                <w:sz w:val="18"/>
              </w:rPr>
            </w:pPr>
          </w:p>
        </w:tc>
      </w:tr>
      <w:tr w14:paraId="74658E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26" w:hRule="atLeast"/>
        </w:trPr>
        <w:tc>
          <w:tcPr>
            <w:tcW w:w="1462" w:type="dxa"/>
            <w:tcBorders>
              <w:top w:val="single" w:color="auto" w:sz="4" w:space="0"/>
              <w:left w:val="single" w:color="auto" w:sz="8" w:space="0"/>
              <w:bottom w:val="single" w:color="auto" w:sz="4" w:space="0"/>
              <w:right w:val="single" w:color="auto" w:sz="4" w:space="0"/>
            </w:tcBorders>
            <w:shd w:val="clear" w:color="auto" w:fill="auto"/>
            <w:vAlign w:val="center"/>
          </w:tcPr>
          <w:p w14:paraId="21548A43">
            <w:pPr>
              <w:spacing w:line="240" w:lineRule="auto"/>
              <w:jc w:val="left"/>
              <w:rPr>
                <w:sz w:val="18"/>
              </w:rPr>
            </w:pPr>
            <w:r>
              <w:rPr>
                <w:rFonts w:hint="eastAsia" w:ascii="宋体" w:hAnsi="宋体" w:cs="宋体"/>
                <w:sz w:val="18"/>
                <w:lang w:bidi="ar"/>
              </w:rPr>
              <w:t>编号</w:t>
            </w:r>
          </w:p>
        </w:tc>
        <w:tc>
          <w:tcPr>
            <w:tcW w:w="2951" w:type="dxa"/>
            <w:tcBorders>
              <w:top w:val="single" w:color="auto" w:sz="4" w:space="0"/>
              <w:left w:val="single" w:color="auto" w:sz="4" w:space="0"/>
              <w:bottom w:val="single" w:color="auto" w:sz="4" w:space="0"/>
              <w:right w:val="single" w:color="auto" w:sz="4" w:space="0"/>
            </w:tcBorders>
            <w:shd w:val="clear" w:color="auto" w:fill="auto"/>
            <w:vAlign w:val="center"/>
          </w:tcPr>
          <w:p w14:paraId="4348ECC7">
            <w:pPr>
              <w:spacing w:line="240" w:lineRule="auto"/>
              <w:jc w:val="left"/>
              <w:rPr>
                <w:sz w:val="18"/>
              </w:rPr>
            </w:pPr>
            <w:r>
              <w:rPr>
                <w:rFonts w:hint="eastAsia" w:ascii="宋体" w:hAnsi="宋体" w:cs="宋体"/>
                <w:sz w:val="18"/>
                <w:lang w:bidi="ar"/>
              </w:rPr>
              <w:t>批次编号：</w:t>
            </w:r>
          </w:p>
          <w:p w14:paraId="5FB07039">
            <w:pPr>
              <w:spacing w:line="240" w:lineRule="auto"/>
              <w:jc w:val="left"/>
              <w:rPr>
                <w:sz w:val="18"/>
              </w:rPr>
            </w:pPr>
            <w:r>
              <w:rPr>
                <w:rFonts w:hint="eastAsia" w:ascii="宋体" w:hAnsi="宋体" w:cs="宋体"/>
                <w:sz w:val="18"/>
                <w:lang w:bidi="ar"/>
              </w:rPr>
              <w:t>传承人手写编号：</w:t>
            </w:r>
          </w:p>
        </w:tc>
        <w:tc>
          <w:tcPr>
            <w:tcW w:w="1120" w:type="dxa"/>
            <w:tcBorders>
              <w:top w:val="single" w:color="auto" w:sz="4" w:space="0"/>
              <w:left w:val="single" w:color="auto" w:sz="4" w:space="0"/>
              <w:bottom w:val="single" w:color="auto" w:sz="4" w:space="0"/>
              <w:right w:val="single" w:color="auto" w:sz="4" w:space="0"/>
            </w:tcBorders>
            <w:shd w:val="clear" w:color="auto" w:fill="auto"/>
            <w:vAlign w:val="center"/>
          </w:tcPr>
          <w:p w14:paraId="0ECE240F">
            <w:pPr>
              <w:spacing w:line="240" w:lineRule="auto"/>
              <w:jc w:val="left"/>
              <w:rPr>
                <w:sz w:val="18"/>
              </w:rPr>
            </w:pPr>
          </w:p>
        </w:tc>
        <w:tc>
          <w:tcPr>
            <w:tcW w:w="1240" w:type="dxa"/>
            <w:tcBorders>
              <w:top w:val="single" w:color="auto" w:sz="4" w:space="0"/>
              <w:left w:val="single" w:color="auto" w:sz="4" w:space="0"/>
              <w:bottom w:val="single" w:color="auto" w:sz="4" w:space="0"/>
              <w:right w:val="single" w:color="auto" w:sz="4" w:space="0"/>
            </w:tcBorders>
            <w:shd w:val="clear" w:color="auto" w:fill="auto"/>
            <w:vAlign w:val="center"/>
          </w:tcPr>
          <w:p w14:paraId="154A15C4">
            <w:pPr>
              <w:spacing w:line="240" w:lineRule="auto"/>
              <w:jc w:val="left"/>
              <w:rPr>
                <w:rFonts w:ascii="宋体" w:hAnsi="宋体" w:cs="宋体"/>
                <w:sz w:val="18"/>
              </w:rPr>
            </w:pPr>
          </w:p>
        </w:tc>
        <w:tc>
          <w:tcPr>
            <w:tcW w:w="1180" w:type="dxa"/>
            <w:tcBorders>
              <w:top w:val="single" w:color="auto" w:sz="4" w:space="0"/>
              <w:left w:val="single" w:color="auto" w:sz="4" w:space="0"/>
              <w:bottom w:val="single" w:color="auto" w:sz="4" w:space="0"/>
              <w:right w:val="single" w:color="auto" w:sz="4" w:space="0"/>
            </w:tcBorders>
            <w:shd w:val="clear" w:color="auto" w:fill="auto"/>
            <w:vAlign w:val="center"/>
          </w:tcPr>
          <w:p w14:paraId="5631AA29">
            <w:pPr>
              <w:spacing w:line="240" w:lineRule="auto"/>
              <w:jc w:val="left"/>
              <w:rPr>
                <w:rFonts w:ascii="宋体" w:hAnsi="宋体" w:cs="宋体"/>
                <w:sz w:val="18"/>
              </w:rPr>
            </w:pPr>
          </w:p>
        </w:tc>
        <w:tc>
          <w:tcPr>
            <w:tcW w:w="1313" w:type="dxa"/>
            <w:tcBorders>
              <w:top w:val="single" w:color="auto" w:sz="4" w:space="0"/>
              <w:left w:val="single" w:color="auto" w:sz="4" w:space="0"/>
              <w:bottom w:val="single" w:color="auto" w:sz="4" w:space="0"/>
              <w:right w:val="single" w:color="auto" w:sz="8" w:space="0"/>
            </w:tcBorders>
            <w:shd w:val="clear" w:color="auto" w:fill="auto"/>
            <w:vAlign w:val="center"/>
          </w:tcPr>
          <w:p w14:paraId="4A59DC4F">
            <w:pPr>
              <w:spacing w:line="240" w:lineRule="auto"/>
              <w:jc w:val="left"/>
              <w:rPr>
                <w:rFonts w:ascii="宋体" w:hAnsi="宋体" w:cs="宋体"/>
                <w:sz w:val="18"/>
              </w:rPr>
            </w:pPr>
          </w:p>
        </w:tc>
      </w:tr>
      <w:tr w14:paraId="00FA2B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1462" w:type="dxa"/>
            <w:tcBorders>
              <w:top w:val="single" w:color="auto" w:sz="4" w:space="0"/>
              <w:left w:val="single" w:color="auto" w:sz="8" w:space="0"/>
              <w:bottom w:val="single" w:color="auto" w:sz="4" w:space="0"/>
              <w:right w:val="single" w:color="auto" w:sz="4" w:space="0"/>
            </w:tcBorders>
            <w:shd w:val="clear" w:color="auto" w:fill="auto"/>
            <w:vAlign w:val="center"/>
          </w:tcPr>
          <w:p w14:paraId="7713E43F">
            <w:pPr>
              <w:spacing w:line="240" w:lineRule="auto"/>
              <w:jc w:val="left"/>
              <w:rPr>
                <w:rFonts w:ascii="宋体" w:hAnsi="宋体" w:cs="宋体"/>
                <w:sz w:val="18"/>
              </w:rPr>
            </w:pPr>
            <w:r>
              <w:rPr>
                <w:rFonts w:hint="eastAsia" w:ascii="宋体" w:hAnsi="宋体" w:cs="宋体"/>
                <w:sz w:val="18"/>
                <w:lang w:bidi="ar"/>
              </w:rPr>
              <w:t>内容</w:t>
            </w:r>
          </w:p>
        </w:tc>
        <w:tc>
          <w:tcPr>
            <w:tcW w:w="2951" w:type="dxa"/>
            <w:tcBorders>
              <w:top w:val="single" w:color="auto" w:sz="4" w:space="0"/>
              <w:left w:val="single" w:color="auto" w:sz="4" w:space="0"/>
              <w:bottom w:val="single" w:color="auto" w:sz="4" w:space="0"/>
              <w:right w:val="single" w:color="auto" w:sz="4" w:space="0"/>
            </w:tcBorders>
            <w:shd w:val="clear" w:color="auto" w:fill="auto"/>
            <w:vAlign w:val="center"/>
          </w:tcPr>
          <w:p w14:paraId="512829F7">
            <w:pPr>
              <w:spacing w:line="240" w:lineRule="auto"/>
              <w:jc w:val="left"/>
              <w:rPr>
                <w:rFonts w:ascii="宋体" w:hAnsi="宋体" w:cs="宋体"/>
                <w:sz w:val="18"/>
              </w:rPr>
            </w:pPr>
            <w:r>
              <w:rPr>
                <w:rFonts w:hint="eastAsia" w:ascii="宋体" w:hAnsi="宋体" w:cs="宋体"/>
                <w:sz w:val="18"/>
              </w:rPr>
              <w:t>釉色：</w:t>
            </w:r>
          </w:p>
          <w:p w14:paraId="0CDEC3EC">
            <w:pPr>
              <w:spacing w:line="240" w:lineRule="auto"/>
              <w:jc w:val="left"/>
              <w:rPr>
                <w:rFonts w:ascii="宋体" w:hAnsi="宋体" w:cs="宋体"/>
                <w:sz w:val="18"/>
              </w:rPr>
            </w:pPr>
            <w:r>
              <w:rPr>
                <w:rFonts w:hint="eastAsia" w:ascii="宋体" w:hAnsi="宋体" w:cs="宋体"/>
                <w:sz w:val="18"/>
              </w:rPr>
              <w:t>施釉方式：</w:t>
            </w:r>
          </w:p>
          <w:p w14:paraId="590EEA62">
            <w:pPr>
              <w:spacing w:line="240" w:lineRule="auto"/>
              <w:jc w:val="left"/>
              <w:rPr>
                <w:rFonts w:ascii="宋体" w:hAnsi="宋体" w:cs="宋体"/>
                <w:sz w:val="18"/>
              </w:rPr>
            </w:pPr>
          </w:p>
        </w:tc>
        <w:tc>
          <w:tcPr>
            <w:tcW w:w="1120" w:type="dxa"/>
            <w:tcBorders>
              <w:top w:val="single" w:color="auto" w:sz="4" w:space="0"/>
              <w:left w:val="single" w:color="auto" w:sz="4" w:space="0"/>
              <w:bottom w:val="single" w:color="auto" w:sz="4" w:space="0"/>
              <w:right w:val="single" w:color="auto" w:sz="4" w:space="0"/>
            </w:tcBorders>
            <w:shd w:val="clear" w:color="auto" w:fill="auto"/>
            <w:vAlign w:val="center"/>
          </w:tcPr>
          <w:p w14:paraId="2C428D8A">
            <w:pPr>
              <w:spacing w:line="240" w:lineRule="auto"/>
              <w:jc w:val="left"/>
              <w:rPr>
                <w:sz w:val="18"/>
              </w:rPr>
            </w:pPr>
          </w:p>
        </w:tc>
        <w:tc>
          <w:tcPr>
            <w:tcW w:w="1240" w:type="dxa"/>
            <w:tcBorders>
              <w:top w:val="single" w:color="auto" w:sz="4" w:space="0"/>
              <w:left w:val="single" w:color="auto" w:sz="4" w:space="0"/>
              <w:bottom w:val="single" w:color="auto" w:sz="4" w:space="0"/>
              <w:right w:val="single" w:color="auto" w:sz="4" w:space="0"/>
            </w:tcBorders>
            <w:shd w:val="clear" w:color="auto" w:fill="auto"/>
            <w:vAlign w:val="center"/>
          </w:tcPr>
          <w:p w14:paraId="103CBC1B">
            <w:pPr>
              <w:spacing w:line="240" w:lineRule="auto"/>
              <w:jc w:val="left"/>
              <w:rPr>
                <w:rFonts w:ascii="宋体" w:hAnsi="宋体" w:cs="宋体"/>
                <w:sz w:val="18"/>
              </w:rPr>
            </w:pPr>
          </w:p>
        </w:tc>
        <w:tc>
          <w:tcPr>
            <w:tcW w:w="1180" w:type="dxa"/>
            <w:tcBorders>
              <w:top w:val="single" w:color="auto" w:sz="4" w:space="0"/>
              <w:left w:val="single" w:color="auto" w:sz="4" w:space="0"/>
              <w:bottom w:val="single" w:color="auto" w:sz="4" w:space="0"/>
              <w:right w:val="single" w:color="auto" w:sz="4" w:space="0"/>
            </w:tcBorders>
            <w:shd w:val="clear" w:color="auto" w:fill="auto"/>
            <w:vAlign w:val="center"/>
          </w:tcPr>
          <w:p w14:paraId="05090A8A">
            <w:pPr>
              <w:spacing w:line="240" w:lineRule="auto"/>
              <w:jc w:val="left"/>
              <w:rPr>
                <w:rFonts w:ascii="宋体" w:hAnsi="宋体" w:cs="宋体"/>
                <w:sz w:val="18"/>
              </w:rPr>
            </w:pPr>
          </w:p>
        </w:tc>
        <w:tc>
          <w:tcPr>
            <w:tcW w:w="1313" w:type="dxa"/>
            <w:tcBorders>
              <w:top w:val="single" w:color="auto" w:sz="4" w:space="0"/>
              <w:left w:val="single" w:color="auto" w:sz="4" w:space="0"/>
              <w:bottom w:val="single" w:color="auto" w:sz="4" w:space="0"/>
              <w:right w:val="single" w:color="auto" w:sz="8" w:space="0"/>
            </w:tcBorders>
            <w:shd w:val="clear" w:color="auto" w:fill="auto"/>
            <w:vAlign w:val="center"/>
          </w:tcPr>
          <w:p w14:paraId="46E6027C">
            <w:pPr>
              <w:spacing w:line="240" w:lineRule="auto"/>
              <w:jc w:val="left"/>
              <w:rPr>
                <w:rFonts w:ascii="宋体" w:hAnsi="宋体" w:cs="宋体"/>
                <w:sz w:val="18"/>
              </w:rPr>
            </w:pPr>
          </w:p>
        </w:tc>
      </w:tr>
      <w:tr w14:paraId="0F93A5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462" w:type="dxa"/>
            <w:tcBorders>
              <w:top w:val="single" w:color="auto" w:sz="4" w:space="0"/>
              <w:left w:val="single" w:color="auto" w:sz="8" w:space="0"/>
              <w:bottom w:val="single" w:color="auto" w:sz="4" w:space="0"/>
              <w:right w:val="single" w:color="auto" w:sz="4" w:space="0"/>
            </w:tcBorders>
            <w:shd w:val="clear" w:color="auto" w:fill="auto"/>
            <w:vAlign w:val="center"/>
          </w:tcPr>
          <w:p w14:paraId="185B5A00">
            <w:pPr>
              <w:spacing w:line="240" w:lineRule="auto"/>
              <w:jc w:val="left"/>
              <w:rPr>
                <w:sz w:val="18"/>
              </w:rPr>
            </w:pPr>
            <w:r>
              <w:rPr>
                <w:rFonts w:hint="eastAsia" w:ascii="宋体" w:hAnsi="宋体" w:cs="宋体"/>
                <w:b/>
                <w:bCs/>
                <w:sz w:val="18"/>
                <w:lang w:bidi="ar"/>
              </w:rPr>
              <w:t>异常情况与处理</w:t>
            </w:r>
          </w:p>
        </w:tc>
        <w:tc>
          <w:tcPr>
            <w:tcW w:w="2951" w:type="dxa"/>
            <w:tcBorders>
              <w:top w:val="single" w:color="auto" w:sz="4" w:space="0"/>
              <w:left w:val="single" w:color="auto" w:sz="4" w:space="0"/>
              <w:bottom w:val="single" w:color="auto" w:sz="4" w:space="0"/>
              <w:right w:val="single" w:color="auto" w:sz="4" w:space="0"/>
            </w:tcBorders>
            <w:shd w:val="clear" w:color="auto" w:fill="auto"/>
            <w:vAlign w:val="center"/>
          </w:tcPr>
          <w:p w14:paraId="03987A9C">
            <w:pPr>
              <w:spacing w:line="240" w:lineRule="auto"/>
              <w:jc w:val="left"/>
              <w:rPr>
                <w:sz w:val="18"/>
              </w:rPr>
            </w:pPr>
            <w:r>
              <w:rPr>
                <w:rFonts w:hint="eastAsia" w:ascii="宋体" w:hAnsi="宋体" w:cs="宋体"/>
                <w:sz w:val="18"/>
                <w:lang w:bidi="ar"/>
              </w:rPr>
              <w:t>描述：</w:t>
            </w:r>
          </w:p>
          <w:p w14:paraId="0BA47207">
            <w:pPr>
              <w:spacing w:line="240" w:lineRule="auto"/>
              <w:jc w:val="left"/>
              <w:rPr>
                <w:sz w:val="18"/>
              </w:rPr>
            </w:pPr>
            <w:r>
              <w:rPr>
                <w:rFonts w:hint="eastAsia" w:ascii="宋体" w:hAnsi="宋体" w:cs="宋体"/>
                <w:b/>
                <w:bCs/>
                <w:i/>
                <w:iCs/>
                <w:sz w:val="18"/>
                <w:lang w:bidi="ar"/>
              </w:rPr>
              <w:t>处理措施：</w:t>
            </w:r>
          </w:p>
        </w:tc>
        <w:tc>
          <w:tcPr>
            <w:tcW w:w="1120" w:type="dxa"/>
            <w:tcBorders>
              <w:top w:val="single" w:color="auto" w:sz="4" w:space="0"/>
              <w:left w:val="single" w:color="auto" w:sz="4" w:space="0"/>
              <w:bottom w:val="single" w:color="auto" w:sz="4" w:space="0"/>
              <w:right w:val="single" w:color="auto" w:sz="4" w:space="0"/>
            </w:tcBorders>
            <w:shd w:val="clear" w:color="auto" w:fill="auto"/>
            <w:vAlign w:val="center"/>
          </w:tcPr>
          <w:p w14:paraId="3EB72CFB">
            <w:pPr>
              <w:spacing w:line="240" w:lineRule="auto"/>
              <w:jc w:val="left"/>
              <w:rPr>
                <w:sz w:val="18"/>
              </w:rPr>
            </w:pPr>
          </w:p>
        </w:tc>
        <w:tc>
          <w:tcPr>
            <w:tcW w:w="1240" w:type="dxa"/>
            <w:tcBorders>
              <w:top w:val="single" w:color="auto" w:sz="4" w:space="0"/>
              <w:left w:val="single" w:color="auto" w:sz="4" w:space="0"/>
              <w:bottom w:val="single" w:color="auto" w:sz="4" w:space="0"/>
              <w:right w:val="single" w:color="auto" w:sz="4" w:space="0"/>
            </w:tcBorders>
            <w:shd w:val="clear" w:color="auto" w:fill="auto"/>
            <w:vAlign w:val="center"/>
          </w:tcPr>
          <w:p w14:paraId="14455E62">
            <w:pPr>
              <w:spacing w:line="240" w:lineRule="auto"/>
              <w:jc w:val="left"/>
              <w:rPr>
                <w:rFonts w:ascii="宋体" w:hAnsi="宋体" w:cs="宋体"/>
                <w:sz w:val="18"/>
              </w:rPr>
            </w:pPr>
          </w:p>
        </w:tc>
        <w:tc>
          <w:tcPr>
            <w:tcW w:w="1180" w:type="dxa"/>
            <w:tcBorders>
              <w:top w:val="single" w:color="auto" w:sz="4" w:space="0"/>
              <w:left w:val="single" w:color="auto" w:sz="4" w:space="0"/>
              <w:bottom w:val="single" w:color="auto" w:sz="4" w:space="0"/>
              <w:right w:val="single" w:color="auto" w:sz="4" w:space="0"/>
            </w:tcBorders>
            <w:shd w:val="clear" w:color="auto" w:fill="auto"/>
            <w:vAlign w:val="center"/>
          </w:tcPr>
          <w:p w14:paraId="44429272">
            <w:pPr>
              <w:spacing w:line="240" w:lineRule="auto"/>
              <w:jc w:val="left"/>
              <w:rPr>
                <w:rFonts w:ascii="宋体" w:hAnsi="宋体" w:cs="宋体"/>
                <w:sz w:val="18"/>
              </w:rPr>
            </w:pPr>
          </w:p>
        </w:tc>
        <w:tc>
          <w:tcPr>
            <w:tcW w:w="1313" w:type="dxa"/>
            <w:tcBorders>
              <w:top w:val="single" w:color="auto" w:sz="4" w:space="0"/>
              <w:left w:val="single" w:color="auto" w:sz="4" w:space="0"/>
              <w:bottom w:val="single" w:color="auto" w:sz="4" w:space="0"/>
              <w:right w:val="single" w:color="auto" w:sz="8" w:space="0"/>
            </w:tcBorders>
            <w:shd w:val="clear" w:color="auto" w:fill="auto"/>
            <w:vAlign w:val="center"/>
          </w:tcPr>
          <w:p w14:paraId="48F8E5C6">
            <w:pPr>
              <w:spacing w:line="240" w:lineRule="auto"/>
              <w:jc w:val="left"/>
              <w:rPr>
                <w:rFonts w:ascii="宋体" w:hAnsi="宋体" w:cs="宋体"/>
                <w:sz w:val="18"/>
              </w:rPr>
            </w:pPr>
          </w:p>
        </w:tc>
      </w:tr>
      <w:tr w14:paraId="57FDF5E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462" w:type="dxa"/>
            <w:tcBorders>
              <w:top w:val="single" w:color="auto" w:sz="4" w:space="0"/>
              <w:left w:val="single" w:color="auto" w:sz="8" w:space="0"/>
              <w:bottom w:val="single" w:color="auto" w:sz="8" w:space="0"/>
              <w:right w:val="single" w:color="auto" w:sz="4" w:space="0"/>
            </w:tcBorders>
            <w:shd w:val="clear" w:color="auto" w:fill="auto"/>
            <w:vAlign w:val="center"/>
          </w:tcPr>
          <w:p w14:paraId="2E50B257">
            <w:pPr>
              <w:spacing w:line="240" w:lineRule="auto"/>
              <w:jc w:val="left"/>
              <w:rPr>
                <w:sz w:val="18"/>
              </w:rPr>
            </w:pPr>
            <w:r>
              <w:rPr>
                <w:rFonts w:hint="eastAsia" w:ascii="宋体" w:hAnsi="宋体" w:cs="宋体"/>
                <w:b/>
                <w:bCs/>
                <w:sz w:val="18"/>
                <w:lang w:bidi="ar"/>
              </w:rPr>
              <w:t>审核与签字</w:t>
            </w:r>
          </w:p>
        </w:tc>
        <w:tc>
          <w:tcPr>
            <w:tcW w:w="2951" w:type="dxa"/>
            <w:tcBorders>
              <w:top w:val="single" w:color="auto" w:sz="4" w:space="0"/>
              <w:left w:val="single" w:color="auto" w:sz="4" w:space="0"/>
              <w:bottom w:val="single" w:color="auto" w:sz="8" w:space="0"/>
              <w:right w:val="single" w:color="auto" w:sz="4" w:space="0"/>
            </w:tcBorders>
            <w:shd w:val="clear" w:color="auto" w:fill="auto"/>
            <w:vAlign w:val="center"/>
          </w:tcPr>
          <w:p w14:paraId="68D66D26">
            <w:pPr>
              <w:spacing w:line="240" w:lineRule="auto"/>
              <w:jc w:val="left"/>
              <w:rPr>
                <w:sz w:val="18"/>
              </w:rPr>
            </w:pPr>
            <w:r>
              <w:rPr>
                <w:rFonts w:hint="eastAsia" w:ascii="宋体" w:hAnsi="宋体" w:cs="宋体"/>
                <w:sz w:val="18"/>
                <w:lang w:bidi="ar"/>
              </w:rPr>
              <w:t>审核人：</w:t>
            </w:r>
          </w:p>
          <w:p w14:paraId="052637D4">
            <w:pPr>
              <w:spacing w:line="240" w:lineRule="auto"/>
              <w:jc w:val="left"/>
              <w:rPr>
                <w:sz w:val="18"/>
              </w:rPr>
            </w:pPr>
            <w:r>
              <w:rPr>
                <w:rFonts w:hint="eastAsia" w:ascii="宋体" w:hAnsi="宋体" w:cs="宋体"/>
                <w:b/>
                <w:bCs/>
                <w:i/>
                <w:iCs/>
                <w:sz w:val="18"/>
                <w:lang w:bidi="ar"/>
              </w:rPr>
              <w:t>签字：</w:t>
            </w:r>
            <w:r>
              <w:rPr>
                <w:b/>
                <w:bCs/>
                <w:i/>
                <w:iCs/>
                <w:sz w:val="18"/>
                <w:lang w:bidi="ar"/>
              </w:rPr>
              <w:t xml:space="preserve">          </w:t>
            </w:r>
            <w:r>
              <w:rPr>
                <w:rFonts w:hint="eastAsia" w:ascii="宋体" w:hAnsi="宋体" w:cs="宋体"/>
                <w:sz w:val="18"/>
                <w:lang w:bidi="ar"/>
              </w:rPr>
              <w:t>日期：</w:t>
            </w:r>
            <w:r>
              <w:rPr>
                <w:sz w:val="18"/>
                <w:lang w:bidi="ar"/>
              </w:rPr>
              <w:t>___________</w:t>
            </w:r>
          </w:p>
        </w:tc>
        <w:tc>
          <w:tcPr>
            <w:tcW w:w="1120" w:type="dxa"/>
            <w:tcBorders>
              <w:top w:val="single" w:color="auto" w:sz="4" w:space="0"/>
              <w:left w:val="single" w:color="auto" w:sz="4" w:space="0"/>
              <w:bottom w:val="single" w:color="auto" w:sz="8" w:space="0"/>
              <w:right w:val="single" w:color="auto" w:sz="4" w:space="0"/>
            </w:tcBorders>
            <w:shd w:val="clear" w:color="auto" w:fill="auto"/>
            <w:vAlign w:val="center"/>
          </w:tcPr>
          <w:p w14:paraId="26387E82">
            <w:pPr>
              <w:spacing w:line="240" w:lineRule="auto"/>
              <w:jc w:val="left"/>
              <w:rPr>
                <w:sz w:val="18"/>
              </w:rPr>
            </w:pPr>
          </w:p>
        </w:tc>
        <w:tc>
          <w:tcPr>
            <w:tcW w:w="1240" w:type="dxa"/>
            <w:tcBorders>
              <w:top w:val="single" w:color="auto" w:sz="4" w:space="0"/>
              <w:left w:val="single" w:color="auto" w:sz="4" w:space="0"/>
              <w:bottom w:val="single" w:color="auto" w:sz="8" w:space="0"/>
              <w:right w:val="single" w:color="auto" w:sz="4" w:space="0"/>
            </w:tcBorders>
            <w:shd w:val="clear" w:color="auto" w:fill="auto"/>
            <w:vAlign w:val="center"/>
          </w:tcPr>
          <w:p w14:paraId="605A076F">
            <w:pPr>
              <w:spacing w:line="240" w:lineRule="auto"/>
              <w:jc w:val="left"/>
              <w:rPr>
                <w:rFonts w:ascii="宋体" w:hAnsi="宋体" w:cs="宋体"/>
                <w:sz w:val="18"/>
              </w:rPr>
            </w:pPr>
          </w:p>
        </w:tc>
        <w:tc>
          <w:tcPr>
            <w:tcW w:w="1180" w:type="dxa"/>
            <w:tcBorders>
              <w:top w:val="single" w:color="auto" w:sz="4" w:space="0"/>
              <w:left w:val="single" w:color="auto" w:sz="4" w:space="0"/>
              <w:bottom w:val="single" w:color="auto" w:sz="8" w:space="0"/>
              <w:right w:val="single" w:color="auto" w:sz="4" w:space="0"/>
            </w:tcBorders>
            <w:shd w:val="clear" w:color="auto" w:fill="auto"/>
            <w:vAlign w:val="center"/>
          </w:tcPr>
          <w:p w14:paraId="78DC0EBA">
            <w:pPr>
              <w:spacing w:line="240" w:lineRule="auto"/>
              <w:jc w:val="left"/>
              <w:rPr>
                <w:rFonts w:ascii="宋体" w:hAnsi="宋体" w:cs="宋体"/>
                <w:sz w:val="18"/>
              </w:rPr>
            </w:pPr>
          </w:p>
        </w:tc>
        <w:tc>
          <w:tcPr>
            <w:tcW w:w="1313" w:type="dxa"/>
            <w:tcBorders>
              <w:top w:val="single" w:color="auto" w:sz="4" w:space="0"/>
              <w:left w:val="single" w:color="auto" w:sz="4" w:space="0"/>
              <w:bottom w:val="single" w:color="auto" w:sz="8" w:space="0"/>
              <w:right w:val="single" w:color="auto" w:sz="8" w:space="0"/>
            </w:tcBorders>
            <w:shd w:val="clear" w:color="auto" w:fill="auto"/>
            <w:vAlign w:val="center"/>
          </w:tcPr>
          <w:p w14:paraId="2D2DFADF">
            <w:pPr>
              <w:spacing w:line="240" w:lineRule="auto"/>
              <w:jc w:val="left"/>
              <w:rPr>
                <w:rFonts w:ascii="宋体" w:hAnsi="宋体" w:cs="宋体"/>
                <w:sz w:val="18"/>
              </w:rPr>
            </w:pPr>
          </w:p>
        </w:tc>
      </w:tr>
    </w:tbl>
    <w:p w14:paraId="44CEB3C5">
      <w:pPr>
        <w:pStyle w:val="3"/>
        <w:widowControl/>
      </w:pPr>
      <w:r>
        <w:rPr>
          <w:rFonts w:hint="eastAsia" w:ascii="宋体" w:hAnsi="宋体" w:cs="黑体"/>
        </w:rPr>
        <w:t>表格说明</w:t>
      </w:r>
    </w:p>
    <w:p w14:paraId="48D37025">
      <w:pPr>
        <w:pStyle w:val="25"/>
        <w:widowControl/>
        <w:numPr>
          <w:ilvl w:val="0"/>
          <w:numId w:val="40"/>
        </w:numPr>
        <w:adjustRightInd/>
        <w:spacing w:line="240" w:lineRule="auto"/>
      </w:pPr>
      <w:r>
        <w:rPr>
          <w:rFonts w:hint="eastAsia" w:ascii="宋体" w:hAnsi="Times New Roman"/>
          <w:kern w:val="0"/>
          <w:sz w:val="21"/>
          <w:szCs w:val="20"/>
          <w:lang w:bidi="ar"/>
        </w:rPr>
        <w:t>填写要求：</w:t>
      </w:r>
    </w:p>
    <w:p w14:paraId="728224A3">
      <w:pPr>
        <w:pStyle w:val="25"/>
        <w:widowControl/>
        <w:numPr>
          <w:ilvl w:val="1"/>
          <w:numId w:val="41"/>
        </w:numPr>
        <w:tabs>
          <w:tab w:val="left" w:pos="1276"/>
        </w:tabs>
        <w:adjustRightInd/>
        <w:spacing w:line="240" w:lineRule="auto"/>
      </w:pPr>
      <w:r>
        <w:rPr>
          <w:rFonts w:hint="eastAsia" w:ascii="宋体" w:hAnsi="Times New Roman"/>
          <w:kern w:val="0"/>
          <w:sz w:val="21"/>
          <w:szCs w:val="20"/>
          <w:lang w:bidi="ar"/>
        </w:rPr>
        <w:t>每批次生产完成后，由操作人员如实填写表格；</w:t>
      </w:r>
    </w:p>
    <w:p w14:paraId="05C48252">
      <w:pPr>
        <w:pStyle w:val="25"/>
        <w:widowControl/>
        <w:numPr>
          <w:ilvl w:val="1"/>
          <w:numId w:val="41"/>
        </w:numPr>
        <w:tabs>
          <w:tab w:val="left" w:pos="1276"/>
        </w:tabs>
        <w:adjustRightInd/>
        <w:spacing w:line="240" w:lineRule="auto"/>
      </w:pPr>
      <w:r>
        <w:rPr>
          <w:rFonts w:hint="eastAsia" w:ascii="宋体" w:hAnsi="Times New Roman"/>
          <w:kern w:val="0"/>
          <w:sz w:val="21"/>
          <w:szCs w:val="20"/>
          <w:lang w:bidi="ar"/>
        </w:rPr>
        <w:t>质检员负责对质量情况进行检查，并签字确认；</w:t>
      </w:r>
    </w:p>
    <w:p w14:paraId="5EC83610">
      <w:pPr>
        <w:pStyle w:val="25"/>
        <w:widowControl/>
        <w:numPr>
          <w:ilvl w:val="1"/>
          <w:numId w:val="41"/>
        </w:numPr>
        <w:tabs>
          <w:tab w:val="left" w:pos="1276"/>
        </w:tabs>
        <w:adjustRightInd/>
        <w:spacing w:line="240" w:lineRule="auto"/>
      </w:pPr>
      <w:r>
        <w:rPr>
          <w:rFonts w:hint="eastAsia" w:ascii="宋体" w:hAnsi="Times New Roman"/>
          <w:kern w:val="0"/>
          <w:sz w:val="21"/>
          <w:szCs w:val="20"/>
          <w:lang w:bidi="ar"/>
        </w:rPr>
        <w:t>表格存档于非遗保护数据库，纸质记录保存</w:t>
      </w:r>
      <w:r>
        <w:rPr>
          <w:rFonts w:ascii="宋体" w:hAnsi="Times New Roman"/>
          <w:kern w:val="0"/>
          <w:sz w:val="21"/>
          <w:szCs w:val="20"/>
          <w:lang w:bidi="ar"/>
        </w:rPr>
        <w:t>≥</w:t>
      </w:r>
      <w:r>
        <w:rPr>
          <w:rFonts w:hint="eastAsia" w:ascii="宋体" w:hAnsi="Times New Roman"/>
          <w:kern w:val="0"/>
          <w:sz w:val="21"/>
          <w:szCs w:val="20"/>
          <w:lang w:bidi="ar"/>
        </w:rPr>
        <w:t>10年。</w:t>
      </w:r>
    </w:p>
    <w:p w14:paraId="41CEFF72">
      <w:pPr>
        <w:pStyle w:val="25"/>
        <w:widowControl/>
        <w:numPr>
          <w:ilvl w:val="0"/>
          <w:numId w:val="41"/>
        </w:numPr>
        <w:tabs>
          <w:tab w:val="left" w:pos="851"/>
        </w:tabs>
        <w:adjustRightInd/>
        <w:spacing w:line="240" w:lineRule="auto"/>
      </w:pPr>
      <w:r>
        <w:rPr>
          <w:rFonts w:hint="eastAsia" w:ascii="宋体" w:hAnsi="Times New Roman"/>
          <w:kern w:val="0"/>
          <w:sz w:val="21"/>
          <w:szCs w:val="20"/>
          <w:lang w:bidi="ar"/>
        </w:rPr>
        <w:t>非遗标识，每批坯体附传承人手写编号（如</w:t>
      </w:r>
      <w:r>
        <w:rPr>
          <w:rFonts w:ascii="宋体" w:hAnsi="Times New Roman"/>
          <w:kern w:val="0"/>
          <w:sz w:val="21"/>
          <w:szCs w:val="20"/>
          <w:lang w:bidi="ar"/>
        </w:rPr>
        <w:t>“</w:t>
      </w:r>
      <w:r>
        <w:rPr>
          <w:rFonts w:hint="eastAsia" w:ascii="宋体" w:hAnsi="Times New Roman"/>
          <w:kern w:val="0"/>
          <w:sz w:val="21"/>
          <w:szCs w:val="20"/>
          <w:lang w:bidi="ar"/>
        </w:rPr>
        <w:t>陈氏定窑2025-001</w:t>
      </w:r>
      <w:r>
        <w:rPr>
          <w:rFonts w:ascii="宋体" w:hAnsi="Times New Roman"/>
          <w:kern w:val="0"/>
          <w:sz w:val="21"/>
          <w:szCs w:val="20"/>
          <w:lang w:bidi="ar"/>
        </w:rPr>
        <w:t>”</w:t>
      </w:r>
      <w:r>
        <w:rPr>
          <w:rFonts w:hint="eastAsia" w:ascii="宋体" w:hAnsi="Times New Roman"/>
          <w:kern w:val="0"/>
          <w:sz w:val="21"/>
          <w:szCs w:val="20"/>
          <w:lang w:bidi="ar"/>
        </w:rPr>
        <w:t>），便于追溯至原料批次及匠人；</w:t>
      </w:r>
    </w:p>
    <w:p w14:paraId="3D2A8704">
      <w:pPr>
        <w:pStyle w:val="25"/>
        <w:widowControl/>
        <w:numPr>
          <w:ilvl w:val="0"/>
          <w:numId w:val="41"/>
        </w:numPr>
        <w:tabs>
          <w:tab w:val="left" w:pos="851"/>
        </w:tabs>
        <w:adjustRightInd/>
        <w:spacing w:line="240" w:lineRule="auto"/>
        <w:rPr>
          <w:u w:val="single"/>
        </w:rPr>
      </w:pPr>
      <w:r>
        <w:rPr>
          <w:rFonts w:hint="eastAsia" w:ascii="宋体" w:hAnsi="Times New Roman"/>
          <w:kern w:val="0"/>
          <w:sz w:val="21"/>
          <w:szCs w:val="20"/>
          <w:lang w:bidi="ar"/>
        </w:rPr>
        <w:t>每批次记录釉色、施釉方式、异常情况与处理等关键信息，为工艺优化提供依据。</w:t>
      </w:r>
    </w:p>
    <w:p w14:paraId="238A6CB0">
      <w:pPr>
        <w:pStyle w:val="25"/>
        <w:widowControl/>
        <w:autoSpaceDE w:val="0"/>
        <w:autoSpaceDN w:val="0"/>
        <w:adjustRightInd/>
        <w:spacing w:line="240" w:lineRule="auto"/>
        <w:rPr>
          <w:rFonts w:ascii="宋体" w:hAnsi="Times New Roman"/>
          <w:kern w:val="0"/>
          <w:sz w:val="21"/>
          <w:szCs w:val="20"/>
          <w:lang w:bidi="ar"/>
        </w:rPr>
      </w:pPr>
    </w:p>
    <w:p w14:paraId="10785350">
      <w:pPr>
        <w:pStyle w:val="57"/>
      </w:pPr>
    </w:p>
    <w:bookmarkEnd w:id="23"/>
    <w:p w14:paraId="7320E074">
      <w:pPr>
        <w:pStyle w:val="57"/>
        <w:ind w:firstLine="0" w:firstLineChars="0"/>
        <w:jc w:val="center"/>
      </w:pPr>
      <w:bookmarkStart w:id="120" w:name="BookMark8"/>
      <w:r>
        <w:drawing>
          <wp:inline distT="0" distB="0" distL="0" distR="0">
            <wp:extent cx="1485900" cy="317500"/>
            <wp:effectExtent l="0" t="0" r="0" b="6350"/>
            <wp:docPr id="184809667" name="图片 1"/>
            <wp:cNvGraphicFramePr/>
            <a:graphic xmlns:a="http://schemas.openxmlformats.org/drawingml/2006/main">
              <a:graphicData uri="http://schemas.openxmlformats.org/drawingml/2006/picture">
                <pic:pic xmlns:pic="http://schemas.openxmlformats.org/drawingml/2006/picture">
                  <pic:nvPicPr>
                    <pic:cNvPr id="184809667" name="图片 1"/>
                    <pic:cNvPicPr/>
                  </pic:nvPicPr>
                  <pic:blipFill>
                    <a:blip r:embed="rId16">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120"/>
    </w:p>
    <w:sectPr>
      <w:pgSz w:w="11906" w:h="16838"/>
      <w:pgMar w:top="1928" w:right="1134" w:bottom="1134" w:left="1134" w:header="1418" w:footer="1134" w:gutter="284"/>
      <w:pgNumType w:start="1"/>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MingLiU">
    <w:altName w:val="PMingLiU-ExtB"/>
    <w:panose1 w:val="02010609000101010101"/>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DB303D">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581C1F">
    <w:pPr>
      <w:pStyle w:val="17"/>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3BA8F9">
    <w:pPr>
      <w:pStyle w:val="17"/>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6D05D3">
    <w:pPr>
      <w:pStyle w:val="53"/>
    </w:pPr>
    <w:r>
      <w:fldChar w:fldCharType="begin"/>
    </w:r>
    <w:r>
      <w:instrText xml:space="preserve">PAGE   \* MERGEFORMAT</w:instrText>
    </w:r>
    <w:r>
      <w:fldChar w:fldCharType="separate"/>
    </w:r>
    <w:r>
      <w:rPr>
        <w:lang w:val="zh-CN"/>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5BD013">
    <w:pPr>
      <w:pStyle w:val="18"/>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115404">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3A9A26">
    <w:pPr>
      <w:pStyle w:val="18"/>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4D793C">
    <w:pPr>
      <w:pStyle w:val="62"/>
    </w:pPr>
    <w:r>
      <w:fldChar w:fldCharType="begin"/>
    </w:r>
    <w:r>
      <w:instrText xml:space="preserve"> STYLEREF  标准文件_文件编号  \* MERGEFORMAT </w:instrText>
    </w:r>
    <w:r>
      <w:fldChar w:fldCharType="separate"/>
    </w:r>
    <w:r>
      <w:t>DB 13/T XXXX—2025</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43CA25">
    <w:pPr>
      <w:pStyle w:val="18"/>
      <w:jc w:val="right"/>
      <w:rPr>
        <w:lang w:val="fr-FR"/>
      </w:rPr>
    </w:pPr>
    <w:r>
      <w:fldChar w:fldCharType="begin"/>
    </w:r>
    <w:r>
      <w:rPr>
        <w:lang w:val="fr-FR"/>
      </w:rPr>
      <w:instrText xml:space="preserve"> STYLEREF  </w:instrText>
    </w:r>
    <w:r>
      <w:instrText xml:space="preserve">标准文件</w:instrText>
    </w:r>
    <w:r>
      <w:rPr>
        <w:lang w:val="fr-FR"/>
      </w:rPr>
      <w:instrText xml:space="preserve">_</w:instrText>
    </w:r>
    <w:r>
      <w:instrText xml:space="preserve">文件编号</w:instrText>
    </w:r>
    <w:r>
      <w:rPr>
        <w:lang w:val="fr-FR"/>
      </w:rPr>
      <w:instrText xml:space="preserve">  \* MERGEFORMAT </w:instrText>
    </w:r>
    <w:r>
      <w:fldChar w:fldCharType="separate"/>
    </w:r>
    <w:r>
      <w:rPr>
        <w:lang w:val="fr-FR"/>
      </w:rPr>
      <w:t>DB 13/T XXXX—2025</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7BC99E8"/>
    <w:multiLevelType w:val="multilevel"/>
    <w:tmpl w:val="D7BC99E8"/>
    <w:lvl w:ilvl="0" w:tentative="0">
      <w:start w:val="1"/>
      <w:numFmt w:val="upperLetter"/>
      <w:suff w:val="nothing"/>
      <w:lvlText w:val="附录%1"/>
      <w:lvlJc w:val="left"/>
      <w:pPr>
        <w:ind w:left="0" w:firstLine="0"/>
      </w:pPr>
      <w:rPr>
        <w:spacing w:val="100"/>
      </w:rPr>
    </w:lvl>
    <w:lvl w:ilvl="1" w:tentative="0">
      <w:start w:val="1"/>
      <w:numFmt w:val="decimal"/>
      <w:suff w:val="nothing"/>
      <w:lvlText w:val="%1.%2　"/>
      <w:lvlJc w:val="left"/>
      <w:pPr>
        <w:ind w:left="0" w:firstLine="0"/>
      </w:pPr>
      <w:rPr>
        <w:rFonts w:hint="eastAsia" w:ascii="黑体" w:hAnsi="Times New Roman" w:eastAsia="黑体" w:cs="黑体"/>
        <w:b w:val="0"/>
        <w:i w:val="0"/>
        <w:sz w:val="21"/>
      </w:rPr>
    </w:lvl>
    <w:lvl w:ilvl="2" w:tentative="0">
      <w:start w:val="1"/>
      <w:numFmt w:val="decimal"/>
      <w:suff w:val="nothing"/>
      <w:lvlText w:val="%1.%2.%3　"/>
      <w:lvlJc w:val="left"/>
      <w:pPr>
        <w:ind w:left="0" w:firstLine="0"/>
      </w:pPr>
      <w:rPr>
        <w:rFonts w:hint="eastAsia" w:ascii="黑体" w:hAnsi="Times New Roman" w:eastAsia="黑体" w:cs="黑体"/>
        <w:b w:val="0"/>
        <w:i w:val="0"/>
        <w:sz w:val="21"/>
      </w:rPr>
    </w:lvl>
    <w:lvl w:ilvl="3" w:tentative="0">
      <w:start w:val="1"/>
      <w:numFmt w:val="decimal"/>
      <w:suff w:val="nothing"/>
      <w:lvlText w:val="%1.%2.%3.%4　"/>
      <w:lvlJc w:val="left"/>
      <w:pPr>
        <w:ind w:left="0" w:firstLine="0"/>
      </w:pPr>
      <w:rPr>
        <w:rFonts w:hint="eastAsia" w:ascii="黑体" w:hAnsi="Times New Roman" w:eastAsia="黑体" w:cs="黑体"/>
        <w:b w:val="0"/>
        <w:i w:val="0"/>
        <w:sz w:val="21"/>
      </w:rPr>
    </w:lvl>
    <w:lvl w:ilvl="4" w:tentative="0">
      <w:start w:val="1"/>
      <w:numFmt w:val="decimal"/>
      <w:suff w:val="nothing"/>
      <w:lvlText w:val="%1.%2.%3.%4.%5　"/>
      <w:lvlJc w:val="left"/>
      <w:pPr>
        <w:ind w:left="0" w:firstLine="0"/>
      </w:pPr>
      <w:rPr>
        <w:rFonts w:hint="eastAsia" w:ascii="黑体" w:hAnsi="Times New Roman" w:eastAsia="黑体" w:cs="黑体"/>
        <w:b w:val="0"/>
        <w:i w:val="0"/>
        <w:sz w:val="21"/>
      </w:rPr>
    </w:lvl>
    <w:lvl w:ilvl="5" w:tentative="0">
      <w:start w:val="1"/>
      <w:numFmt w:val="decimal"/>
      <w:suff w:val="nothing"/>
      <w:lvlText w:val="%1.%2.%3.%4.%5.%6　"/>
      <w:lvlJc w:val="left"/>
      <w:pPr>
        <w:ind w:left="0" w:firstLine="0"/>
      </w:pPr>
      <w:rPr>
        <w:rFonts w:hint="eastAsia" w:ascii="黑体" w:hAnsi="Times New Roman" w:eastAsia="黑体" w:cs="黑体"/>
        <w:b w:val="0"/>
        <w:i w:val="0"/>
        <w:sz w:val="21"/>
      </w:r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1">
    <w:nsid w:val="E86B7A7D"/>
    <w:multiLevelType w:val="multilevel"/>
    <w:tmpl w:val="E86B7A7D"/>
    <w:lvl w:ilvl="0" w:tentative="0">
      <w:start w:val="1"/>
      <w:numFmt w:val="lowerLetter"/>
      <w:lvlText w:val="%1)"/>
      <w:lvlJc w:val="left"/>
      <w:pPr>
        <w:tabs>
          <w:tab w:val="left" w:pos="851"/>
        </w:tabs>
        <w:ind w:left="851" w:hanging="426"/>
      </w:pPr>
      <w:rPr>
        <w:rFonts w:hint="eastAsia" w:ascii="宋体" w:hAnsi="Times New Roman" w:eastAsia="宋体" w:cs="宋体"/>
        <w:sz w:val="21"/>
      </w:rPr>
    </w:lvl>
    <w:lvl w:ilvl="1" w:tentative="0">
      <w:start w:val="1"/>
      <w:numFmt w:val="decimal"/>
      <w:lvlText w:val="%2)"/>
      <w:lvlJc w:val="left"/>
      <w:pPr>
        <w:tabs>
          <w:tab w:val="left" w:pos="1276"/>
        </w:tabs>
        <w:ind w:left="1276" w:hanging="425"/>
      </w:pPr>
      <w:rPr>
        <w:rFonts w:hint="eastAsia" w:ascii="宋体" w:hAnsi="Times New Roman" w:eastAsia="宋体" w:cs="宋体"/>
        <w:sz w:val="21"/>
      </w:rPr>
    </w:lvl>
    <w:lvl w:ilvl="2" w:tentative="0">
      <w:start w:val="1"/>
      <w:numFmt w:val="decimal"/>
      <w:lvlText w:val="(%3)"/>
      <w:lvlJc w:val="left"/>
      <w:pPr>
        <w:ind w:left="1702" w:hanging="425"/>
      </w:pPr>
      <w:rPr>
        <w:rFonts w:hint="eastAsia" w:ascii="宋体" w:hAnsi="Times New Roman" w:eastAsia="宋体" w:cs="宋体"/>
        <w:sz w:val="21"/>
      </w:rPr>
    </w:lvl>
    <w:lvl w:ilvl="3" w:tentative="0">
      <w:start w:val="1"/>
      <w:numFmt w:val="decimal"/>
      <w:lvlText w:val="%4."/>
      <w:lvlJc w:val="left"/>
      <w:pPr>
        <w:tabs>
          <w:tab w:val="left" w:pos="2100"/>
        </w:tabs>
        <w:ind w:left="2099" w:hanging="419"/>
      </w:pPr>
    </w:lvl>
    <w:lvl w:ilvl="4" w:tentative="0">
      <w:start w:val="1"/>
      <w:numFmt w:val="lowerLetter"/>
      <w:lvlText w:val="%5)"/>
      <w:lvlJc w:val="left"/>
      <w:pPr>
        <w:tabs>
          <w:tab w:val="left" w:pos="2520"/>
        </w:tabs>
        <w:ind w:left="2519" w:hanging="419"/>
      </w:pPr>
    </w:lvl>
    <w:lvl w:ilvl="5" w:tentative="0">
      <w:start w:val="1"/>
      <w:numFmt w:val="lowerRoman"/>
      <w:lvlText w:val="%6."/>
      <w:lvlJc w:val="right"/>
      <w:pPr>
        <w:tabs>
          <w:tab w:val="left" w:pos="2940"/>
        </w:tabs>
        <w:ind w:left="2939" w:hanging="419"/>
      </w:pPr>
    </w:lvl>
    <w:lvl w:ilvl="6" w:tentative="0">
      <w:start w:val="1"/>
      <w:numFmt w:val="decimal"/>
      <w:lvlText w:val="%7."/>
      <w:lvlJc w:val="left"/>
      <w:pPr>
        <w:tabs>
          <w:tab w:val="left" w:pos="3360"/>
        </w:tabs>
        <w:ind w:left="3359" w:hanging="419"/>
      </w:pPr>
    </w:lvl>
    <w:lvl w:ilvl="7" w:tentative="0">
      <w:start w:val="1"/>
      <w:numFmt w:val="lowerLetter"/>
      <w:lvlText w:val="%8)"/>
      <w:lvlJc w:val="left"/>
      <w:pPr>
        <w:tabs>
          <w:tab w:val="left" w:pos="3780"/>
        </w:tabs>
        <w:ind w:left="3779" w:hanging="419"/>
      </w:pPr>
    </w:lvl>
    <w:lvl w:ilvl="8" w:tentative="0">
      <w:start w:val="1"/>
      <w:numFmt w:val="lowerRoman"/>
      <w:lvlText w:val="%9."/>
      <w:lvlJc w:val="right"/>
      <w:pPr>
        <w:tabs>
          <w:tab w:val="left" w:pos="4200"/>
        </w:tabs>
        <w:ind w:left="4199" w:hanging="419"/>
      </w:pPr>
    </w:lvl>
  </w:abstractNum>
  <w:abstractNum w:abstractNumId="2">
    <w:nsid w:val="02837933"/>
    <w:multiLevelType w:val="multilevel"/>
    <w:tmpl w:val="02837933"/>
    <w:lvl w:ilvl="0" w:tentative="0">
      <w:start w:val="1"/>
      <w:numFmt w:val="decimal"/>
      <w:pStyle w:val="65"/>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3">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60"/>
      <w:suff w:val="nothing"/>
      <w:lvlText w:val="%1%2.%3　"/>
      <w:lvlJc w:val="left"/>
      <w:pPr>
        <w:ind w:left="0" w:firstLine="0"/>
      </w:pPr>
    </w:lvl>
    <w:lvl w:ilvl="3" w:tentative="0">
      <w:start w:val="1"/>
      <w:numFmt w:val="decimal"/>
      <w:pStyle w:val="119"/>
      <w:suff w:val="nothing"/>
      <w:lvlText w:val="%1%2.%3.%4　"/>
      <w:lvlJc w:val="left"/>
      <w:pPr>
        <w:ind w:left="0" w:firstLine="0"/>
      </w:pPr>
    </w:lvl>
    <w:lvl w:ilvl="4" w:tentative="0">
      <w:start w:val="1"/>
      <w:numFmt w:val="decimal"/>
      <w:pStyle w:val="154"/>
      <w:suff w:val="nothing"/>
      <w:lvlText w:val="%1%2.%3.%4.%5　"/>
      <w:lvlJc w:val="left"/>
      <w:pPr>
        <w:ind w:left="0" w:firstLine="0"/>
      </w:pPr>
    </w:lvl>
    <w:lvl w:ilvl="5" w:tentative="0">
      <w:start w:val="1"/>
      <w:numFmt w:val="decimal"/>
      <w:pStyle w:val="156"/>
      <w:suff w:val="nothing"/>
      <w:lvlText w:val="%1%2.%3.%4.%5.%6　"/>
      <w:lvlJc w:val="left"/>
      <w:pPr>
        <w:ind w:left="0" w:firstLine="0"/>
      </w:pPr>
    </w:lvl>
    <w:lvl w:ilvl="6" w:tentative="0">
      <w:start w:val="1"/>
      <w:numFmt w:val="decimal"/>
      <w:pStyle w:val="159"/>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4">
    <w:nsid w:val="079102AD"/>
    <w:multiLevelType w:val="multilevel"/>
    <w:tmpl w:val="079102AD"/>
    <w:lvl w:ilvl="0" w:tentative="0">
      <w:start w:val="1"/>
      <w:numFmt w:val="decimal"/>
      <w:pStyle w:val="181"/>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5">
    <w:nsid w:val="07ED3FEA"/>
    <w:multiLevelType w:val="multilevel"/>
    <w:tmpl w:val="07ED3FEA"/>
    <w:lvl w:ilvl="0" w:tentative="0">
      <w:start w:val="1"/>
      <w:numFmt w:val="none"/>
      <w:pStyle w:val="90"/>
      <w:lvlText w:val="%1"/>
      <w:lvlJc w:val="left"/>
      <w:pPr>
        <w:ind w:left="425" w:hanging="425"/>
      </w:pPr>
      <w:rPr>
        <w:rFonts w:hint="eastAsia"/>
      </w:rPr>
    </w:lvl>
    <w:lvl w:ilvl="1" w:tentative="0">
      <w:start w:val="1"/>
      <w:numFmt w:val="decimal"/>
      <w:pStyle w:val="201"/>
      <w:suff w:val="nothing"/>
      <w:lvlText w:val="%10.%2 "/>
      <w:lvlJc w:val="left"/>
      <w:pPr>
        <w:ind w:left="0" w:firstLine="0"/>
      </w:pPr>
      <w:rPr>
        <w:rFonts w:hint="eastAsia" w:ascii="黑体" w:eastAsia="黑体" w:hAnsiTheme="minorHAnsi"/>
        <w:b w:val="0"/>
        <w:i w:val="0"/>
        <w:sz w:val="21"/>
      </w:rPr>
    </w:lvl>
    <w:lvl w:ilvl="2" w:tentative="0">
      <w:start w:val="1"/>
      <w:numFmt w:val="decimal"/>
      <w:pStyle w:val="202"/>
      <w:suff w:val="nothing"/>
      <w:lvlText w:val="%10.%2.%3 "/>
      <w:lvlJc w:val="left"/>
      <w:pPr>
        <w:ind w:left="0" w:firstLine="0"/>
      </w:pPr>
      <w:rPr>
        <w:rFonts w:hint="eastAsia" w:ascii="黑体" w:eastAsia="黑体" w:hAnsiTheme="minorHAnsi"/>
        <w:b w:val="0"/>
        <w:i w:val="0"/>
        <w:sz w:val="21"/>
      </w:rPr>
    </w:lvl>
    <w:lvl w:ilvl="3" w:tentative="0">
      <w:start w:val="1"/>
      <w:numFmt w:val="decimal"/>
      <w:pStyle w:val="203"/>
      <w:suff w:val="nothing"/>
      <w:lvlText w:val="%10.%2.%3.%4 "/>
      <w:lvlJc w:val="left"/>
      <w:pPr>
        <w:ind w:left="0" w:firstLine="0"/>
      </w:pPr>
      <w:rPr>
        <w:rFonts w:hint="eastAsia" w:ascii="黑体" w:eastAsia="黑体" w:hAnsiTheme="minorHAnsi"/>
        <w:b w:val="0"/>
        <w:i w:val="0"/>
        <w:sz w:val="21"/>
      </w:rPr>
    </w:lvl>
    <w:lvl w:ilvl="4" w:tentative="0">
      <w:start w:val="1"/>
      <w:numFmt w:val="decimal"/>
      <w:pStyle w:val="204"/>
      <w:suff w:val="nothing"/>
      <w:lvlText w:val="%10.%2.%3.%4.%5 "/>
      <w:lvlJc w:val="left"/>
      <w:pPr>
        <w:ind w:left="0" w:firstLine="0"/>
      </w:pPr>
      <w:rPr>
        <w:rFonts w:hint="eastAsia" w:ascii="黑体" w:eastAsia="黑体" w:hAnsiTheme="minorHAnsi"/>
        <w:b w:val="0"/>
        <w:i w:val="0"/>
        <w:sz w:val="21"/>
      </w:rPr>
    </w:lvl>
    <w:lvl w:ilvl="5" w:tentative="0">
      <w:start w:val="1"/>
      <w:numFmt w:val="decimal"/>
      <w:pStyle w:val="205"/>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6">
    <w:nsid w:val="0AE367E9"/>
    <w:multiLevelType w:val="multilevel"/>
    <w:tmpl w:val="0AE367E9"/>
    <w:lvl w:ilvl="0" w:tentative="0">
      <w:start w:val="1"/>
      <w:numFmt w:val="none"/>
      <w:pStyle w:val="182"/>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7">
    <w:nsid w:val="0BDC1670"/>
    <w:multiLevelType w:val="multilevel"/>
    <w:tmpl w:val="0BDC1670"/>
    <w:lvl w:ilvl="0" w:tentative="0">
      <w:start w:val="1"/>
      <w:numFmt w:val="decimal"/>
      <w:pStyle w:val="68"/>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0D051F45"/>
    <w:multiLevelType w:val="multilevel"/>
    <w:tmpl w:val="0D051F45"/>
    <w:lvl w:ilvl="0" w:tentative="0">
      <w:start w:val="1"/>
      <w:numFmt w:val="lowerRoman"/>
      <w:pStyle w:val="170"/>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9">
    <w:nsid w:val="1A14168C"/>
    <w:multiLevelType w:val="multilevel"/>
    <w:tmpl w:val="1A14168C"/>
    <w:lvl w:ilvl="0" w:tentative="0">
      <w:start w:val="1"/>
      <w:numFmt w:val="lowerLetter"/>
      <w:suff w:val="space"/>
      <w:lvlText w:val="%1)"/>
      <w:lvlJc w:val="left"/>
      <w:pPr>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0">
    <w:nsid w:val="1AD20F90"/>
    <w:multiLevelType w:val="multilevel"/>
    <w:tmpl w:val="1AD20F90"/>
    <w:lvl w:ilvl="0" w:tentative="0">
      <w:start w:val="1"/>
      <w:numFmt w:val="none"/>
      <w:pStyle w:val="111"/>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1AF15012"/>
    <w:multiLevelType w:val="multilevel"/>
    <w:tmpl w:val="1AF15012"/>
    <w:lvl w:ilvl="0" w:tentative="0">
      <w:start w:val="1"/>
      <w:numFmt w:val="upperLetter"/>
      <w:pStyle w:val="86"/>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12">
    <w:nsid w:val="1EAA1992"/>
    <w:multiLevelType w:val="multilevel"/>
    <w:tmpl w:val="1EAA1992"/>
    <w:lvl w:ilvl="0" w:tentative="0">
      <w:start w:val="1"/>
      <w:numFmt w:val="none"/>
      <w:pStyle w:val="93"/>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3">
    <w:nsid w:val="2C5917C3"/>
    <w:multiLevelType w:val="multilevel"/>
    <w:tmpl w:val="2C5917C3"/>
    <w:lvl w:ilvl="0" w:tentative="0">
      <w:start w:val="1"/>
      <w:numFmt w:val="none"/>
      <w:pStyle w:val="133"/>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8"/>
      <w:lvlText w:val=""/>
      <w:lvlJc w:val="left"/>
      <w:pPr>
        <w:ind w:left="851" w:hanging="431"/>
      </w:pPr>
      <w:rPr>
        <w:rFonts w:hint="default" w:ascii="Symbol" w:hAnsi="Symbol"/>
        <w:sz w:val="21"/>
      </w:rPr>
    </w:lvl>
    <w:lvl w:ilvl="2" w:tentative="0">
      <w:start w:val="1"/>
      <w:numFmt w:val="bullet"/>
      <w:pStyle w:val="173"/>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4">
    <w:nsid w:val="32F04FB2"/>
    <w:multiLevelType w:val="multilevel"/>
    <w:tmpl w:val="32F04FB2"/>
    <w:lvl w:ilvl="0" w:tentative="0">
      <w:start w:val="1"/>
      <w:numFmt w:val="lowerLetter"/>
      <w:pStyle w:val="102"/>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5">
    <w:nsid w:val="44C50F90"/>
    <w:multiLevelType w:val="multilevel"/>
    <w:tmpl w:val="44C50F90"/>
    <w:lvl w:ilvl="0" w:tentative="0">
      <w:start w:val="1"/>
      <w:numFmt w:val="lowerLetter"/>
      <w:pStyle w:val="175"/>
      <w:lvlText w:val="%1)"/>
      <w:lvlJc w:val="left"/>
      <w:pPr>
        <w:tabs>
          <w:tab w:val="left" w:pos="851"/>
        </w:tabs>
        <w:ind w:left="851" w:hanging="426"/>
      </w:pPr>
      <w:rPr>
        <w:rFonts w:hint="eastAsia" w:ascii="宋体" w:hAnsi="Times New Roman" w:eastAsia="宋体"/>
        <w:sz w:val="21"/>
      </w:rPr>
    </w:lvl>
    <w:lvl w:ilvl="1" w:tentative="0">
      <w:start w:val="1"/>
      <w:numFmt w:val="decimal"/>
      <w:pStyle w:val="110"/>
      <w:lvlText w:val="%2)"/>
      <w:lvlJc w:val="left"/>
      <w:pPr>
        <w:tabs>
          <w:tab w:val="left" w:pos="1276"/>
        </w:tabs>
        <w:ind w:left="1276" w:hanging="425"/>
      </w:pPr>
      <w:rPr>
        <w:rFonts w:hint="eastAsia" w:ascii="宋体" w:hAnsi="Times New Roman" w:eastAsia="宋体"/>
        <w:sz w:val="21"/>
      </w:rPr>
    </w:lvl>
    <w:lvl w:ilvl="2" w:tentative="0">
      <w:start w:val="1"/>
      <w:numFmt w:val="decimal"/>
      <w:pStyle w:val="118"/>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6">
    <w:nsid w:val="48802D1C"/>
    <w:multiLevelType w:val="multilevel"/>
    <w:tmpl w:val="48802D1C"/>
    <w:lvl w:ilvl="0" w:tentative="0">
      <w:start w:val="1"/>
      <w:numFmt w:val="upperLetter"/>
      <w:pStyle w:val="199"/>
      <w:lvlText w:val="%1"/>
      <w:lvlJc w:val="left"/>
      <w:pPr>
        <w:ind w:left="420" w:hanging="420"/>
      </w:pPr>
      <w:rPr>
        <w:rFonts w:hint="eastAsia"/>
      </w:rPr>
    </w:lvl>
    <w:lvl w:ilvl="1" w:tentative="0">
      <w:start w:val="1"/>
      <w:numFmt w:val="decimal"/>
      <w:pStyle w:val="84"/>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7">
    <w:nsid w:val="4B733A5F"/>
    <w:multiLevelType w:val="multilevel"/>
    <w:tmpl w:val="4B733A5F"/>
    <w:lvl w:ilvl="0" w:tentative="0">
      <w:start w:val="1"/>
      <w:numFmt w:val="decimal"/>
      <w:pStyle w:val="184"/>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8">
    <w:nsid w:val="4E5D0534"/>
    <w:multiLevelType w:val="multilevel"/>
    <w:tmpl w:val="4E5D0534"/>
    <w:lvl w:ilvl="0" w:tentative="0">
      <w:start w:val="1"/>
      <w:numFmt w:val="decimal"/>
      <w:pStyle w:val="117"/>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9">
    <w:nsid w:val="54632751"/>
    <w:multiLevelType w:val="multilevel"/>
    <w:tmpl w:val="54632751"/>
    <w:lvl w:ilvl="0" w:tentative="0">
      <w:start w:val="1"/>
      <w:numFmt w:val="none"/>
      <w:pStyle w:val="94"/>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20">
    <w:nsid w:val="557C2AF5"/>
    <w:multiLevelType w:val="multilevel"/>
    <w:tmpl w:val="557C2AF5"/>
    <w:lvl w:ilvl="0" w:tentative="0">
      <w:start w:val="1"/>
      <w:numFmt w:val="decimal"/>
      <w:pStyle w:val="115"/>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21">
    <w:nsid w:val="5603797C"/>
    <w:multiLevelType w:val="multilevel"/>
    <w:tmpl w:val="5603797C"/>
    <w:lvl w:ilvl="0" w:tentative="0">
      <w:start w:val="1"/>
      <w:numFmt w:val="upperLetter"/>
      <w:pStyle w:val="200"/>
      <w:suff w:val="space"/>
      <w:lvlText w:val="%1"/>
      <w:lvlJc w:val="left"/>
      <w:pPr>
        <w:ind w:left="425" w:hanging="425"/>
      </w:pPr>
      <w:rPr>
        <w:rFonts w:hint="eastAsia"/>
      </w:rPr>
    </w:lvl>
    <w:lvl w:ilvl="1" w:tentative="0">
      <w:start w:val="1"/>
      <w:numFmt w:val="decimal"/>
      <w:pStyle w:val="78"/>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2">
    <w:nsid w:val="564D2089"/>
    <w:multiLevelType w:val="multilevel"/>
    <w:tmpl w:val="564D2089"/>
    <w:lvl w:ilvl="0" w:tentative="0">
      <w:start w:val="1"/>
      <w:numFmt w:val="none"/>
      <w:pStyle w:val="112"/>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3">
    <w:nsid w:val="644622F9"/>
    <w:multiLevelType w:val="multilevel"/>
    <w:tmpl w:val="644622F9"/>
    <w:lvl w:ilvl="0" w:tentative="0">
      <w:start w:val="1"/>
      <w:numFmt w:val="upp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4">
    <w:nsid w:val="646260FA"/>
    <w:multiLevelType w:val="multilevel"/>
    <w:tmpl w:val="646260FA"/>
    <w:lvl w:ilvl="0" w:tentative="0">
      <w:start w:val="1"/>
      <w:numFmt w:val="decimal"/>
      <w:pStyle w:val="113"/>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5">
    <w:nsid w:val="654A26C9"/>
    <w:multiLevelType w:val="multilevel"/>
    <w:tmpl w:val="654A26C9"/>
    <w:lvl w:ilvl="0" w:tentative="0">
      <w:start w:val="1"/>
      <w:numFmt w:val="none"/>
      <w:pStyle w:val="190"/>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6">
    <w:nsid w:val="657D3FBC"/>
    <w:multiLevelType w:val="multilevel"/>
    <w:tmpl w:val="657D3FBC"/>
    <w:lvl w:ilvl="0" w:tentative="0">
      <w:start w:val="1"/>
      <w:numFmt w:val="upperLetter"/>
      <w:pStyle w:val="77"/>
      <w:suff w:val="nothing"/>
      <w:lvlText w:val="附录%1"/>
      <w:lvlJc w:val="left"/>
      <w:pPr>
        <w:ind w:left="0" w:firstLine="0"/>
      </w:pPr>
      <w:rPr>
        <w:rFonts w:hint="eastAsia"/>
        <w:spacing w:val="100"/>
      </w:rPr>
    </w:lvl>
    <w:lvl w:ilvl="1" w:tentative="0">
      <w:start w:val="1"/>
      <w:numFmt w:val="decimal"/>
      <w:pStyle w:val="79"/>
      <w:suff w:val="nothing"/>
      <w:lvlText w:val="%1.%2　"/>
      <w:lvlJc w:val="left"/>
      <w:pPr>
        <w:ind w:left="0" w:firstLine="0"/>
      </w:pPr>
      <w:rPr>
        <w:rFonts w:hint="eastAsia" w:ascii="黑体" w:eastAsia="黑体"/>
        <w:b w:val="0"/>
        <w:i w:val="0"/>
        <w:sz w:val="21"/>
      </w:rPr>
    </w:lvl>
    <w:lvl w:ilvl="2" w:tentative="0">
      <w:start w:val="1"/>
      <w:numFmt w:val="decimal"/>
      <w:pStyle w:val="80"/>
      <w:suff w:val="nothing"/>
      <w:lvlText w:val="%1.%2.%3　"/>
      <w:lvlJc w:val="left"/>
      <w:pPr>
        <w:ind w:left="0" w:firstLine="0"/>
      </w:pPr>
      <w:rPr>
        <w:rFonts w:hint="eastAsia" w:ascii="黑体" w:eastAsia="黑体"/>
        <w:b w:val="0"/>
        <w:i w:val="0"/>
        <w:sz w:val="21"/>
      </w:rPr>
    </w:lvl>
    <w:lvl w:ilvl="3" w:tentative="0">
      <w:start w:val="1"/>
      <w:numFmt w:val="decimal"/>
      <w:pStyle w:val="82"/>
      <w:suff w:val="nothing"/>
      <w:lvlText w:val="%1.%2.%3.%4　"/>
      <w:lvlJc w:val="left"/>
      <w:pPr>
        <w:ind w:left="0" w:firstLine="0"/>
      </w:pPr>
      <w:rPr>
        <w:rFonts w:hint="eastAsia" w:ascii="黑体" w:eastAsia="黑体"/>
        <w:b w:val="0"/>
        <w:i w:val="0"/>
        <w:sz w:val="21"/>
      </w:rPr>
    </w:lvl>
    <w:lvl w:ilvl="4" w:tentative="0">
      <w:start w:val="1"/>
      <w:numFmt w:val="decimal"/>
      <w:pStyle w:val="83"/>
      <w:suff w:val="nothing"/>
      <w:lvlText w:val="%1.%2.%3.%4.%5　"/>
      <w:lvlJc w:val="left"/>
      <w:pPr>
        <w:ind w:left="0" w:firstLine="0"/>
      </w:pPr>
      <w:rPr>
        <w:rFonts w:hint="eastAsia" w:ascii="黑体" w:eastAsia="黑体"/>
        <w:b w:val="0"/>
        <w:i w:val="0"/>
        <w:sz w:val="21"/>
      </w:rPr>
    </w:lvl>
    <w:lvl w:ilvl="5" w:tentative="0">
      <w:start w:val="1"/>
      <w:numFmt w:val="decimal"/>
      <w:pStyle w:val="85"/>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7">
    <w:nsid w:val="69506ABF"/>
    <w:multiLevelType w:val="multilevel"/>
    <w:tmpl w:val="69506ABF"/>
    <w:lvl w:ilvl="0" w:tentative="0">
      <w:start w:val="1"/>
      <w:numFmt w:val="bullet"/>
      <w:pStyle w:val="189"/>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8">
    <w:nsid w:val="6CA41985"/>
    <w:multiLevelType w:val="multilevel"/>
    <w:tmpl w:val="6CA41985"/>
    <w:lvl w:ilvl="0" w:tentative="0">
      <w:start w:val="1"/>
      <w:numFmt w:val="decimal"/>
      <w:pStyle w:val="98"/>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9">
    <w:nsid w:val="6CE42AC1"/>
    <w:multiLevelType w:val="multilevel"/>
    <w:tmpl w:val="6CE42AC1"/>
    <w:lvl w:ilvl="0" w:tentative="0">
      <w:start w:val="1"/>
      <w:numFmt w:val="lowerLetter"/>
      <w:pStyle w:val="174"/>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6CEA2025"/>
    <w:multiLevelType w:val="multilevel"/>
    <w:tmpl w:val="6CEA2025"/>
    <w:lvl w:ilvl="0" w:tentative="0">
      <w:start w:val="1"/>
      <w:numFmt w:val="none"/>
      <w:pStyle w:val="153"/>
      <w:suff w:val="nothing"/>
      <w:lvlText w:val="%1"/>
      <w:lvlJc w:val="left"/>
      <w:pPr>
        <w:ind w:left="0" w:firstLine="0"/>
      </w:pPr>
      <w:rPr>
        <w:rFonts w:hint="eastAsia"/>
      </w:rPr>
    </w:lvl>
    <w:lvl w:ilvl="1" w:tentative="0">
      <w:start w:val="1"/>
      <w:numFmt w:val="decimal"/>
      <w:pStyle w:val="105"/>
      <w:suff w:val="nothing"/>
      <w:lvlText w:val="%1%2　"/>
      <w:lvlJc w:val="left"/>
      <w:pPr>
        <w:ind w:left="0" w:firstLine="0"/>
      </w:pPr>
      <w:rPr>
        <w:rFonts w:hint="eastAsia" w:ascii="黑体" w:eastAsia="黑体"/>
        <w:b w:val="0"/>
        <w:i w:val="0"/>
        <w:sz w:val="21"/>
      </w:rPr>
    </w:lvl>
    <w:lvl w:ilvl="2" w:tentative="0">
      <w:start w:val="1"/>
      <w:numFmt w:val="decimal"/>
      <w:pStyle w:val="106"/>
      <w:suff w:val="nothing"/>
      <w:lvlText w:val="%1%2.%3　"/>
      <w:lvlJc w:val="left"/>
      <w:pPr>
        <w:ind w:left="2269"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pStyle w:val="66"/>
      <w:suff w:val="nothing"/>
      <w:lvlText w:val="%1%2.%3.%4　"/>
      <w:lvlJc w:val="left"/>
      <w:pPr>
        <w:ind w:left="1135" w:firstLine="0"/>
      </w:pPr>
      <w:rPr>
        <w:rFonts w:hint="eastAsia" w:ascii="黑体" w:eastAsia="黑体"/>
        <w:b w:val="0"/>
        <w:i w:val="0"/>
        <w:sz w:val="21"/>
      </w:rPr>
    </w:lvl>
    <w:lvl w:ilvl="4" w:tentative="0">
      <w:start w:val="1"/>
      <w:numFmt w:val="decimal"/>
      <w:pStyle w:val="95"/>
      <w:suff w:val="nothing"/>
      <w:lvlText w:val="%1%2.%3.%4.%5　"/>
      <w:lvlJc w:val="left"/>
      <w:pPr>
        <w:ind w:left="0" w:firstLine="0"/>
      </w:pPr>
      <w:rPr>
        <w:rFonts w:hint="eastAsia" w:ascii="黑体" w:eastAsia="黑体"/>
        <w:b w:val="0"/>
        <w:i w:val="0"/>
        <w:sz w:val="21"/>
      </w:rPr>
    </w:lvl>
    <w:lvl w:ilvl="5" w:tentative="0">
      <w:start w:val="1"/>
      <w:numFmt w:val="decimal"/>
      <w:pStyle w:val="99"/>
      <w:suff w:val="nothing"/>
      <w:lvlText w:val="%1%2.%3.%4.%5.%6　"/>
      <w:lvlJc w:val="left"/>
      <w:pPr>
        <w:ind w:left="0" w:firstLine="0"/>
      </w:pPr>
      <w:rPr>
        <w:rFonts w:hint="eastAsia" w:ascii="黑体" w:eastAsia="黑体"/>
        <w:b w:val="0"/>
        <w:i w:val="0"/>
        <w:sz w:val="21"/>
      </w:rPr>
    </w:lvl>
    <w:lvl w:ilvl="6" w:tentative="0">
      <w:start w:val="1"/>
      <w:numFmt w:val="decimal"/>
      <w:pStyle w:val="104"/>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31">
    <w:nsid w:val="6DBF04F4"/>
    <w:multiLevelType w:val="multilevel"/>
    <w:tmpl w:val="6DBF04F4"/>
    <w:lvl w:ilvl="0" w:tentative="0">
      <w:start w:val="1"/>
      <w:numFmt w:val="none"/>
      <w:pStyle w:val="180"/>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32">
    <w:nsid w:val="6DF35F19"/>
    <w:multiLevelType w:val="multilevel"/>
    <w:tmpl w:val="6DF35F19"/>
    <w:lvl w:ilvl="0" w:tentative="0">
      <w:start w:val="1"/>
      <w:numFmt w:val="decimal"/>
      <w:pStyle w:val="116"/>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3">
    <w:nsid w:val="76933334"/>
    <w:multiLevelType w:val="multilevel"/>
    <w:tmpl w:val="76933334"/>
    <w:lvl w:ilvl="0" w:tentative="0">
      <w:start w:val="1"/>
      <w:numFmt w:val="none"/>
      <w:pStyle w:val="140"/>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30"/>
  </w:num>
  <w:num w:numId="3">
    <w:abstractNumId w:val="7"/>
  </w:num>
  <w:num w:numId="4">
    <w:abstractNumId w:val="26"/>
  </w:num>
  <w:num w:numId="5">
    <w:abstractNumId w:val="21"/>
  </w:num>
  <w:num w:numId="6">
    <w:abstractNumId w:val="16"/>
  </w:num>
  <w:num w:numId="7">
    <w:abstractNumId w:val="11"/>
  </w:num>
  <w:num w:numId="8">
    <w:abstractNumId w:val="5"/>
  </w:num>
  <w:num w:numId="9">
    <w:abstractNumId w:val="12"/>
  </w:num>
  <w:num w:numId="10">
    <w:abstractNumId w:val="19"/>
  </w:num>
  <w:num w:numId="11">
    <w:abstractNumId w:val="28"/>
  </w:num>
  <w:num w:numId="12">
    <w:abstractNumId w:val="14"/>
  </w:num>
  <w:num w:numId="13">
    <w:abstractNumId w:val="15"/>
  </w:num>
  <w:num w:numId="14">
    <w:abstractNumId w:val="10"/>
  </w:num>
  <w:num w:numId="15">
    <w:abstractNumId w:val="22"/>
  </w:num>
  <w:num w:numId="16">
    <w:abstractNumId w:val="24"/>
  </w:num>
  <w:num w:numId="17">
    <w:abstractNumId w:val="20"/>
  </w:num>
  <w:num w:numId="18">
    <w:abstractNumId w:val="32"/>
  </w:num>
  <w:num w:numId="19">
    <w:abstractNumId w:val="18"/>
  </w:num>
  <w:num w:numId="20">
    <w:abstractNumId w:val="3"/>
  </w:num>
  <w:num w:numId="21">
    <w:abstractNumId w:val="13"/>
  </w:num>
  <w:num w:numId="22">
    <w:abstractNumId w:val="33"/>
  </w:num>
  <w:num w:numId="23">
    <w:abstractNumId w:val="23"/>
  </w:num>
  <w:num w:numId="24">
    <w:abstractNumId w:val="8"/>
  </w:num>
  <w:num w:numId="25">
    <w:abstractNumId w:val="29"/>
  </w:num>
  <w:num w:numId="26">
    <w:abstractNumId w:val="31"/>
  </w:num>
  <w:num w:numId="27">
    <w:abstractNumId w:val="4"/>
  </w:num>
  <w:num w:numId="28">
    <w:abstractNumId w:val="6"/>
  </w:num>
  <w:num w:numId="29">
    <w:abstractNumId w:val="17"/>
  </w:num>
  <w:num w:numId="30">
    <w:abstractNumId w:val="27"/>
  </w:num>
  <w:num w:numId="31">
    <w:abstractNumId w:val="25"/>
  </w:num>
  <w:num w:numId="3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9"/>
  </w:num>
  <w:num w:numId="39">
    <w:abstractNumId w:val="0"/>
  </w:num>
  <w:num w:numId="4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dit="forms" w:enforcement="1" w:cryptProviderType="rsaAES" w:cryptAlgorithmClass="hash" w:cryptAlgorithmType="typeAny" w:cryptAlgorithmSid="14" w:cryptSpinCount="100000" w:hash="DjW4etAvFQx4ascQgElTcGoULSHCaY+7Z0PsTfi2oPWTTfADL2LsFfO/D0pkuS50EFHktzeEzkl/nv9K2cBmLA==" w:salt="vb0MMv56xA6uWYUneVvxyg=="/>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ZjNDUzOWNjODI3NjI3YTI4Njk2NzBjMGY2MDhjN2QifQ=="/>
  </w:docVars>
  <w:rsids>
    <w:rsidRoot w:val="00576398"/>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18BB"/>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9D5"/>
    <w:rsid w:val="000F4AEA"/>
    <w:rsid w:val="000F633F"/>
    <w:rsid w:val="000F67E9"/>
    <w:rsid w:val="00104926"/>
    <w:rsid w:val="00113B1E"/>
    <w:rsid w:val="0011711C"/>
    <w:rsid w:val="0012059C"/>
    <w:rsid w:val="00120B1E"/>
    <w:rsid w:val="00124E4F"/>
    <w:rsid w:val="001260B7"/>
    <w:rsid w:val="001265CB"/>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0791"/>
    <w:rsid w:val="001913C4"/>
    <w:rsid w:val="0019348F"/>
    <w:rsid w:val="00193A07"/>
    <w:rsid w:val="00194C95"/>
    <w:rsid w:val="00195C34"/>
    <w:rsid w:val="00196EF5"/>
    <w:rsid w:val="001A1A53"/>
    <w:rsid w:val="001A234A"/>
    <w:rsid w:val="001A4CF3"/>
    <w:rsid w:val="001B06E8"/>
    <w:rsid w:val="001B67E1"/>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4EE9"/>
    <w:rsid w:val="001F69B4"/>
    <w:rsid w:val="001F77C7"/>
    <w:rsid w:val="00200183"/>
    <w:rsid w:val="00200333"/>
    <w:rsid w:val="0020107D"/>
    <w:rsid w:val="00202AA4"/>
    <w:rsid w:val="002031F7"/>
    <w:rsid w:val="002040E6"/>
    <w:rsid w:val="0020527B"/>
    <w:rsid w:val="00205F2C"/>
    <w:rsid w:val="00210B15"/>
    <w:rsid w:val="002142EA"/>
    <w:rsid w:val="00215691"/>
    <w:rsid w:val="002204BB"/>
    <w:rsid w:val="00221B79"/>
    <w:rsid w:val="00221C6B"/>
    <w:rsid w:val="002253A1"/>
    <w:rsid w:val="00225CF8"/>
    <w:rsid w:val="0022794E"/>
    <w:rsid w:val="00233D64"/>
    <w:rsid w:val="0023482A"/>
    <w:rsid w:val="002359CB"/>
    <w:rsid w:val="00243540"/>
    <w:rsid w:val="00243D49"/>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771AC"/>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1E1C"/>
    <w:rsid w:val="002C3F07"/>
    <w:rsid w:val="002C5278"/>
    <w:rsid w:val="002C7EBB"/>
    <w:rsid w:val="002D06C1"/>
    <w:rsid w:val="002D42B5"/>
    <w:rsid w:val="002D4F1A"/>
    <w:rsid w:val="002D6EC6"/>
    <w:rsid w:val="002D79AC"/>
    <w:rsid w:val="002E00DA"/>
    <w:rsid w:val="002E039D"/>
    <w:rsid w:val="002E4D5A"/>
    <w:rsid w:val="002E6326"/>
    <w:rsid w:val="002F30E0"/>
    <w:rsid w:val="002F35E4"/>
    <w:rsid w:val="002F3730"/>
    <w:rsid w:val="002F38E1"/>
    <w:rsid w:val="002F7AF6"/>
    <w:rsid w:val="00300E63"/>
    <w:rsid w:val="00302F5F"/>
    <w:rsid w:val="0030441D"/>
    <w:rsid w:val="00306063"/>
    <w:rsid w:val="0030766F"/>
    <w:rsid w:val="00313B85"/>
    <w:rsid w:val="00317988"/>
    <w:rsid w:val="003221B4"/>
    <w:rsid w:val="0032258D"/>
    <w:rsid w:val="00322E62"/>
    <w:rsid w:val="00324D13"/>
    <w:rsid w:val="00324D2A"/>
    <w:rsid w:val="00324EDD"/>
    <w:rsid w:val="00332A1B"/>
    <w:rsid w:val="003331E4"/>
    <w:rsid w:val="00336C64"/>
    <w:rsid w:val="00337162"/>
    <w:rsid w:val="0034194F"/>
    <w:rsid w:val="00344605"/>
    <w:rsid w:val="003474AA"/>
    <w:rsid w:val="00350D1D"/>
    <w:rsid w:val="00352C83"/>
    <w:rsid w:val="003615D2"/>
    <w:rsid w:val="0036429C"/>
    <w:rsid w:val="00364A53"/>
    <w:rsid w:val="003654CB"/>
    <w:rsid w:val="00365AA9"/>
    <w:rsid w:val="00365E94"/>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4077"/>
    <w:rsid w:val="003B09AD"/>
    <w:rsid w:val="003B1F18"/>
    <w:rsid w:val="003B5BF0"/>
    <w:rsid w:val="003B60BF"/>
    <w:rsid w:val="003B6BE3"/>
    <w:rsid w:val="003C010C"/>
    <w:rsid w:val="003C0A6C"/>
    <w:rsid w:val="003C14F8"/>
    <w:rsid w:val="003C5A43"/>
    <w:rsid w:val="003D0519"/>
    <w:rsid w:val="003D0FF6"/>
    <w:rsid w:val="003D262C"/>
    <w:rsid w:val="003D43D3"/>
    <w:rsid w:val="003D6D61"/>
    <w:rsid w:val="003D79C6"/>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32DAA"/>
    <w:rsid w:val="00434305"/>
    <w:rsid w:val="00435DF7"/>
    <w:rsid w:val="0044083F"/>
    <w:rsid w:val="00441AE7"/>
    <w:rsid w:val="00445574"/>
    <w:rsid w:val="004467FB"/>
    <w:rsid w:val="00452D6B"/>
    <w:rsid w:val="00454484"/>
    <w:rsid w:val="0045517B"/>
    <w:rsid w:val="0046167E"/>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7E6"/>
    <w:rsid w:val="004A1BA8"/>
    <w:rsid w:val="004A4B57"/>
    <w:rsid w:val="004A63FA"/>
    <w:rsid w:val="004B0272"/>
    <w:rsid w:val="004B2701"/>
    <w:rsid w:val="004B2E1B"/>
    <w:rsid w:val="004B3AA8"/>
    <w:rsid w:val="004B3E93"/>
    <w:rsid w:val="004C1FBC"/>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02DF"/>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220E"/>
    <w:rsid w:val="00555044"/>
    <w:rsid w:val="00561475"/>
    <w:rsid w:val="00562B96"/>
    <w:rsid w:val="0056487B"/>
    <w:rsid w:val="00564FB9"/>
    <w:rsid w:val="00573D9E"/>
    <w:rsid w:val="00576398"/>
    <w:rsid w:val="005801E3"/>
    <w:rsid w:val="00581802"/>
    <w:rsid w:val="005836A8"/>
    <w:rsid w:val="0058409C"/>
    <w:rsid w:val="00584262"/>
    <w:rsid w:val="00586630"/>
    <w:rsid w:val="00587ADD"/>
    <w:rsid w:val="00591E27"/>
    <w:rsid w:val="00592314"/>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6812"/>
    <w:rsid w:val="005E7881"/>
    <w:rsid w:val="005E78E0"/>
    <w:rsid w:val="005F0D9C"/>
    <w:rsid w:val="005F284E"/>
    <w:rsid w:val="005F4712"/>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5D22"/>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0AB7"/>
    <w:rsid w:val="006D16C4"/>
    <w:rsid w:val="006D3E96"/>
    <w:rsid w:val="006D4515"/>
    <w:rsid w:val="006D4BB1"/>
    <w:rsid w:val="006D6593"/>
    <w:rsid w:val="006E23EA"/>
    <w:rsid w:val="006F03A8"/>
    <w:rsid w:val="006F2ACA"/>
    <w:rsid w:val="006F2ADC"/>
    <w:rsid w:val="006F2BFE"/>
    <w:rsid w:val="006F31E9"/>
    <w:rsid w:val="006F6284"/>
    <w:rsid w:val="007002C5"/>
    <w:rsid w:val="00704387"/>
    <w:rsid w:val="00705495"/>
    <w:rsid w:val="00707669"/>
    <w:rsid w:val="00711CBA"/>
    <w:rsid w:val="00711FB5"/>
    <w:rsid w:val="00712A01"/>
    <w:rsid w:val="00714F58"/>
    <w:rsid w:val="00722FBF"/>
    <w:rsid w:val="00722FC2"/>
    <w:rsid w:val="00724879"/>
    <w:rsid w:val="00724E1B"/>
    <w:rsid w:val="00725949"/>
    <w:rsid w:val="00727FA2"/>
    <w:rsid w:val="007322D9"/>
    <w:rsid w:val="00732BC0"/>
    <w:rsid w:val="0073720F"/>
    <w:rsid w:val="00737796"/>
    <w:rsid w:val="0074165C"/>
    <w:rsid w:val="007429B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5A3D"/>
    <w:rsid w:val="007B5B95"/>
    <w:rsid w:val="007B68EA"/>
    <w:rsid w:val="007B7453"/>
    <w:rsid w:val="007C1E8B"/>
    <w:rsid w:val="007C2D89"/>
    <w:rsid w:val="007C4593"/>
    <w:rsid w:val="007C5309"/>
    <w:rsid w:val="007C6069"/>
    <w:rsid w:val="007D06C4"/>
    <w:rsid w:val="007D1352"/>
    <w:rsid w:val="007D2508"/>
    <w:rsid w:val="007D346A"/>
    <w:rsid w:val="007D6518"/>
    <w:rsid w:val="007D76BD"/>
    <w:rsid w:val="007E0BF1"/>
    <w:rsid w:val="007E3BF5"/>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5173A"/>
    <w:rsid w:val="00856316"/>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3A5"/>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73B3"/>
    <w:rsid w:val="009305B5"/>
    <w:rsid w:val="009429D5"/>
    <w:rsid w:val="00942BF1"/>
    <w:rsid w:val="00945180"/>
    <w:rsid w:val="00945428"/>
    <w:rsid w:val="0094607B"/>
    <w:rsid w:val="00953604"/>
    <w:rsid w:val="0095496B"/>
    <w:rsid w:val="009610DC"/>
    <w:rsid w:val="00961490"/>
    <w:rsid w:val="0096381A"/>
    <w:rsid w:val="00965E04"/>
    <w:rsid w:val="009674AD"/>
    <w:rsid w:val="00970CDC"/>
    <w:rsid w:val="00977010"/>
    <w:rsid w:val="00977D02"/>
    <w:rsid w:val="009809BB"/>
    <w:rsid w:val="0098364B"/>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72AD"/>
    <w:rsid w:val="009B09E0"/>
    <w:rsid w:val="009B0BC5"/>
    <w:rsid w:val="009B1247"/>
    <w:rsid w:val="009B46F9"/>
    <w:rsid w:val="009B6029"/>
    <w:rsid w:val="009B6971"/>
    <w:rsid w:val="009C27F1"/>
    <w:rsid w:val="009C3152"/>
    <w:rsid w:val="009C4CFA"/>
    <w:rsid w:val="009C5070"/>
    <w:rsid w:val="009D112C"/>
    <w:rsid w:val="009D47FA"/>
    <w:rsid w:val="009D4C5B"/>
    <w:rsid w:val="009D50D2"/>
    <w:rsid w:val="009D6BCA"/>
    <w:rsid w:val="009E0F62"/>
    <w:rsid w:val="009E346C"/>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375C6"/>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38EE"/>
    <w:rsid w:val="00A77CCB"/>
    <w:rsid w:val="00A83D8D"/>
    <w:rsid w:val="00A8446B"/>
    <w:rsid w:val="00A8473F"/>
    <w:rsid w:val="00A862D6"/>
    <w:rsid w:val="00A8715E"/>
    <w:rsid w:val="00A9295B"/>
    <w:rsid w:val="00A93B09"/>
    <w:rsid w:val="00A94247"/>
    <w:rsid w:val="00A952D7"/>
    <w:rsid w:val="00A963F7"/>
    <w:rsid w:val="00A96AD8"/>
    <w:rsid w:val="00AA052C"/>
    <w:rsid w:val="00AA1E45"/>
    <w:rsid w:val="00AA4286"/>
    <w:rsid w:val="00AA456B"/>
    <w:rsid w:val="00AA57F5"/>
    <w:rsid w:val="00AA672E"/>
    <w:rsid w:val="00AA6EC9"/>
    <w:rsid w:val="00AB41D5"/>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496"/>
    <w:rsid w:val="00AE070A"/>
    <w:rsid w:val="00AE101C"/>
    <w:rsid w:val="00AE37E5"/>
    <w:rsid w:val="00AE5218"/>
    <w:rsid w:val="00AE5EB4"/>
    <w:rsid w:val="00AF0C18"/>
    <w:rsid w:val="00AF47C5"/>
    <w:rsid w:val="00AF5398"/>
    <w:rsid w:val="00B049AF"/>
    <w:rsid w:val="00B07242"/>
    <w:rsid w:val="00B10534"/>
    <w:rsid w:val="00B113DB"/>
    <w:rsid w:val="00B11D8A"/>
    <w:rsid w:val="00B12981"/>
    <w:rsid w:val="00B147DD"/>
    <w:rsid w:val="00B156FD"/>
    <w:rsid w:val="00B21F61"/>
    <w:rsid w:val="00B261F1"/>
    <w:rsid w:val="00B265BC"/>
    <w:rsid w:val="00B30D10"/>
    <w:rsid w:val="00B31FB1"/>
    <w:rsid w:val="00B33952"/>
    <w:rsid w:val="00B33C5E"/>
    <w:rsid w:val="00B342F4"/>
    <w:rsid w:val="00B34369"/>
    <w:rsid w:val="00B34DC2"/>
    <w:rsid w:val="00B378E5"/>
    <w:rsid w:val="00B4346D"/>
    <w:rsid w:val="00B440F4"/>
    <w:rsid w:val="00B447A5"/>
    <w:rsid w:val="00B4654C"/>
    <w:rsid w:val="00B46AF0"/>
    <w:rsid w:val="00B47293"/>
    <w:rsid w:val="00B50E50"/>
    <w:rsid w:val="00B52120"/>
    <w:rsid w:val="00B54ABC"/>
    <w:rsid w:val="00B54DDE"/>
    <w:rsid w:val="00B56CF9"/>
    <w:rsid w:val="00B56FBE"/>
    <w:rsid w:val="00B60ACF"/>
    <w:rsid w:val="00B62B58"/>
    <w:rsid w:val="00B65149"/>
    <w:rsid w:val="00B66567"/>
    <w:rsid w:val="00B66BD4"/>
    <w:rsid w:val="00B66F52"/>
    <w:rsid w:val="00B66FE5"/>
    <w:rsid w:val="00B72880"/>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203B"/>
    <w:rsid w:val="00BB5F8F"/>
    <w:rsid w:val="00BB657A"/>
    <w:rsid w:val="00BC1A4E"/>
    <w:rsid w:val="00BC4790"/>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2148"/>
    <w:rsid w:val="00C24C8D"/>
    <w:rsid w:val="00C252CF"/>
    <w:rsid w:val="00C25FE2"/>
    <w:rsid w:val="00C26B53"/>
    <w:rsid w:val="00C279B2"/>
    <w:rsid w:val="00C33E50"/>
    <w:rsid w:val="00C34C20"/>
    <w:rsid w:val="00C35A3E"/>
    <w:rsid w:val="00C42130"/>
    <w:rsid w:val="00C423A4"/>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982"/>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561D"/>
    <w:rsid w:val="00CE0C4F"/>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3457"/>
    <w:rsid w:val="00D34B16"/>
    <w:rsid w:val="00D352A2"/>
    <w:rsid w:val="00D3660F"/>
    <w:rsid w:val="00D4162B"/>
    <w:rsid w:val="00D4514F"/>
    <w:rsid w:val="00D451E2"/>
    <w:rsid w:val="00D45E89"/>
    <w:rsid w:val="00D45E8D"/>
    <w:rsid w:val="00D466AE"/>
    <w:rsid w:val="00D4734F"/>
    <w:rsid w:val="00D51BF3"/>
    <w:rsid w:val="00D66846"/>
    <w:rsid w:val="00D66AFA"/>
    <w:rsid w:val="00D675FB"/>
    <w:rsid w:val="00D71F25"/>
    <w:rsid w:val="00D72A9C"/>
    <w:rsid w:val="00D77031"/>
    <w:rsid w:val="00D77FA6"/>
    <w:rsid w:val="00D84941"/>
    <w:rsid w:val="00D84FA1"/>
    <w:rsid w:val="00D851F0"/>
    <w:rsid w:val="00D85C23"/>
    <w:rsid w:val="00D86DB7"/>
    <w:rsid w:val="00D926D0"/>
    <w:rsid w:val="00D93030"/>
    <w:rsid w:val="00D950E1"/>
    <w:rsid w:val="00D952A6"/>
    <w:rsid w:val="00D97F99"/>
    <w:rsid w:val="00DA1E08"/>
    <w:rsid w:val="00DA24F8"/>
    <w:rsid w:val="00DA28E8"/>
    <w:rsid w:val="00DA38D3"/>
    <w:rsid w:val="00DA3932"/>
    <w:rsid w:val="00DA3AFC"/>
    <w:rsid w:val="00DA3C94"/>
    <w:rsid w:val="00DA5191"/>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DF5F11"/>
    <w:rsid w:val="00E01138"/>
    <w:rsid w:val="00E02DFB"/>
    <w:rsid w:val="00E030F9"/>
    <w:rsid w:val="00E0311A"/>
    <w:rsid w:val="00E03138"/>
    <w:rsid w:val="00E06404"/>
    <w:rsid w:val="00E065D2"/>
    <w:rsid w:val="00E11A85"/>
    <w:rsid w:val="00E12495"/>
    <w:rsid w:val="00E15CCD"/>
    <w:rsid w:val="00E202EF"/>
    <w:rsid w:val="00E210B5"/>
    <w:rsid w:val="00E23D99"/>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A00"/>
    <w:rsid w:val="00E60C63"/>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7DE"/>
    <w:rsid w:val="00EB1E69"/>
    <w:rsid w:val="00EB2086"/>
    <w:rsid w:val="00EB5EDF"/>
    <w:rsid w:val="00EB60FE"/>
    <w:rsid w:val="00EB74DB"/>
    <w:rsid w:val="00EC5359"/>
    <w:rsid w:val="00EC562A"/>
    <w:rsid w:val="00ED0199"/>
    <w:rsid w:val="00ED067A"/>
    <w:rsid w:val="00ED2B50"/>
    <w:rsid w:val="00EE0350"/>
    <w:rsid w:val="00EE0719"/>
    <w:rsid w:val="00EE0E80"/>
    <w:rsid w:val="00EE54A6"/>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25BB6"/>
    <w:rsid w:val="00F26B7E"/>
    <w:rsid w:val="00F27A3B"/>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1141"/>
    <w:rsid w:val="00F833BA"/>
    <w:rsid w:val="00F84FD0"/>
    <w:rsid w:val="00F859A8"/>
    <w:rsid w:val="00F86D87"/>
    <w:rsid w:val="00F9108B"/>
    <w:rsid w:val="00F91349"/>
    <w:rsid w:val="00F93A8A"/>
    <w:rsid w:val="00F95248"/>
    <w:rsid w:val="00F956A9"/>
    <w:rsid w:val="00F963ED"/>
    <w:rsid w:val="00F966CF"/>
    <w:rsid w:val="00F96CAE"/>
    <w:rsid w:val="00F97C99"/>
    <w:rsid w:val="00FA4DAC"/>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01C25A95"/>
    <w:rsid w:val="0A3E0050"/>
    <w:rsid w:val="0DA11FD2"/>
    <w:rsid w:val="0DBA2186"/>
    <w:rsid w:val="0E59167B"/>
    <w:rsid w:val="0FBA55CD"/>
    <w:rsid w:val="143F351B"/>
    <w:rsid w:val="1CAD1D8E"/>
    <w:rsid w:val="21CC7E2C"/>
    <w:rsid w:val="227D5125"/>
    <w:rsid w:val="26296BB1"/>
    <w:rsid w:val="317A6513"/>
    <w:rsid w:val="33C1667B"/>
    <w:rsid w:val="3C395948"/>
    <w:rsid w:val="3F177A97"/>
    <w:rsid w:val="4DB7715C"/>
    <w:rsid w:val="4DDA7BC6"/>
    <w:rsid w:val="4E4B32B9"/>
    <w:rsid w:val="4F857E40"/>
    <w:rsid w:val="53195734"/>
    <w:rsid w:val="53E775E0"/>
    <w:rsid w:val="610E49E2"/>
    <w:rsid w:val="674D37A6"/>
    <w:rsid w:val="6C8934D3"/>
    <w:rsid w:val="6CD4603A"/>
    <w:rsid w:val="6E067DCE"/>
    <w:rsid w:val="6EA0121A"/>
    <w:rsid w:val="73DE5EB2"/>
    <w:rsid w:val="77DA398E"/>
    <w:rsid w:val="787321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5"/>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6"/>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7"/>
    <w:autoRedefine/>
    <w:qFormat/>
    <w:uiPriority w:val="0"/>
    <w:pPr>
      <w:keepNext/>
      <w:keepLines/>
      <w:spacing w:before="260" w:after="260" w:line="416" w:lineRule="auto"/>
      <w:outlineLvl w:val="2"/>
    </w:pPr>
    <w:rPr>
      <w:b/>
      <w:bCs/>
      <w:sz w:val="32"/>
      <w:szCs w:val="32"/>
    </w:rPr>
  </w:style>
  <w:style w:type="paragraph" w:styleId="5">
    <w:name w:val="heading 4"/>
    <w:basedOn w:val="1"/>
    <w:next w:val="1"/>
    <w:link w:val="38"/>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9"/>
    <w:autoRedefine/>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40"/>
    <w:autoRedefine/>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1"/>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2"/>
    <w:autoRedefine/>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3"/>
    <w:autoRedefine/>
    <w:qFormat/>
    <w:uiPriority w:val="0"/>
    <w:pPr>
      <w:keepNext/>
      <w:keepLines/>
      <w:adjustRightInd/>
      <w:spacing w:before="240" w:after="64" w:line="320" w:lineRule="auto"/>
      <w:outlineLvl w:val="8"/>
    </w:pPr>
    <w:rPr>
      <w:rFonts w:ascii="Arial" w:hAnsi="Arial" w:eastAsia="黑体"/>
    </w:rPr>
  </w:style>
  <w:style w:type="character" w:default="1" w:styleId="29">
    <w:name w:val="Default Paragraph Font"/>
    <w:semiHidden/>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autoRedefine/>
    <w:unhideWhenUsed/>
    <w:qFormat/>
    <w:uiPriority w:val="39"/>
    <w:pPr>
      <w:tabs>
        <w:tab w:val="right" w:leader="dot" w:pos="9344"/>
      </w:tabs>
      <w:spacing w:line="300" w:lineRule="exact"/>
      <w:ind w:left="1259"/>
    </w:pPr>
    <w:rPr>
      <w:rFonts w:ascii="宋体"/>
    </w:rPr>
  </w:style>
  <w:style w:type="paragraph" w:styleId="12">
    <w:name w:val="Normal Indent"/>
    <w:basedOn w:val="1"/>
    <w:autoRedefine/>
    <w:qFormat/>
    <w:uiPriority w:val="0"/>
    <w:pPr>
      <w:ind w:firstLine="420"/>
    </w:pPr>
  </w:style>
  <w:style w:type="paragraph" w:styleId="13">
    <w:name w:val="Body Text"/>
    <w:basedOn w:val="1"/>
    <w:link w:val="87"/>
    <w:autoRedefine/>
    <w:qFormat/>
    <w:uiPriority w:val="0"/>
    <w:pPr>
      <w:spacing w:after="120"/>
    </w:pPr>
  </w:style>
  <w:style w:type="paragraph" w:styleId="14">
    <w:name w:val="toc 5"/>
    <w:basedOn w:val="1"/>
    <w:next w:val="1"/>
    <w:autoRedefine/>
    <w:unhideWhenUsed/>
    <w:qFormat/>
    <w:uiPriority w:val="39"/>
    <w:pPr>
      <w:ind w:left="839"/>
    </w:pPr>
    <w:rPr>
      <w:rFonts w:ascii="宋体"/>
    </w:rPr>
  </w:style>
  <w:style w:type="paragraph" w:styleId="15">
    <w:name w:val="toc 3"/>
    <w:basedOn w:val="1"/>
    <w:next w:val="1"/>
    <w:autoRedefine/>
    <w:unhideWhenUsed/>
    <w:qFormat/>
    <w:uiPriority w:val="39"/>
    <w:pPr>
      <w:spacing w:line="300" w:lineRule="exact"/>
      <w:ind w:left="420"/>
    </w:pPr>
    <w:rPr>
      <w:rFonts w:ascii="宋体"/>
    </w:rPr>
  </w:style>
  <w:style w:type="paragraph" w:styleId="16">
    <w:name w:val="Balloon Text"/>
    <w:basedOn w:val="1"/>
    <w:link w:val="46"/>
    <w:autoRedefine/>
    <w:semiHidden/>
    <w:unhideWhenUsed/>
    <w:qFormat/>
    <w:uiPriority w:val="99"/>
    <w:rPr>
      <w:sz w:val="18"/>
      <w:szCs w:val="18"/>
    </w:rPr>
  </w:style>
  <w:style w:type="paragraph" w:styleId="17">
    <w:name w:val="footer"/>
    <w:basedOn w:val="1"/>
    <w:link w:val="45"/>
    <w:autoRedefine/>
    <w:qFormat/>
    <w:uiPriority w:val="99"/>
    <w:pPr>
      <w:tabs>
        <w:tab w:val="center" w:pos="4153"/>
        <w:tab w:val="right" w:pos="8306"/>
      </w:tabs>
      <w:adjustRightInd/>
      <w:snapToGrid w:val="0"/>
      <w:spacing w:line="240" w:lineRule="auto"/>
      <w:jc w:val="right"/>
    </w:pPr>
    <w:rPr>
      <w:rFonts w:ascii="宋体"/>
      <w:sz w:val="18"/>
      <w:szCs w:val="18"/>
    </w:rPr>
  </w:style>
  <w:style w:type="paragraph" w:styleId="18">
    <w:name w:val="header"/>
    <w:basedOn w:val="1"/>
    <w:link w:val="44"/>
    <w:qFormat/>
    <w:uiPriority w:val="99"/>
    <w:pPr>
      <w:tabs>
        <w:tab w:val="center" w:pos="4153"/>
        <w:tab w:val="right" w:pos="8306"/>
      </w:tabs>
      <w:adjustRightInd/>
      <w:snapToGrid w:val="0"/>
      <w:jc w:val="center"/>
    </w:pPr>
    <w:rPr>
      <w:sz w:val="18"/>
      <w:szCs w:val="18"/>
    </w:rPr>
  </w:style>
  <w:style w:type="paragraph" w:styleId="19">
    <w:name w:val="toc 1"/>
    <w:basedOn w:val="1"/>
    <w:next w:val="1"/>
    <w:autoRedefine/>
    <w:unhideWhenUsed/>
    <w:qFormat/>
    <w:uiPriority w:val="39"/>
    <w:rPr>
      <w:rFonts w:ascii="宋体"/>
    </w:rPr>
  </w:style>
  <w:style w:type="paragraph" w:styleId="20">
    <w:name w:val="toc 4"/>
    <w:basedOn w:val="1"/>
    <w:next w:val="1"/>
    <w:autoRedefine/>
    <w:unhideWhenUsed/>
    <w:qFormat/>
    <w:uiPriority w:val="39"/>
    <w:pPr>
      <w:tabs>
        <w:tab w:val="right" w:leader="dot" w:pos="9344"/>
      </w:tabs>
      <w:spacing w:line="300" w:lineRule="exact"/>
      <w:ind w:left="629"/>
    </w:pPr>
    <w:rPr>
      <w:rFonts w:ascii="宋体"/>
    </w:rPr>
  </w:style>
  <w:style w:type="paragraph" w:styleId="21">
    <w:name w:val="footnote text"/>
    <w:basedOn w:val="1"/>
    <w:next w:val="1"/>
    <w:link w:val="100"/>
    <w:autoRedefine/>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2">
    <w:name w:val="toc 6"/>
    <w:basedOn w:val="1"/>
    <w:next w:val="1"/>
    <w:autoRedefine/>
    <w:unhideWhenUsed/>
    <w:qFormat/>
    <w:uiPriority w:val="39"/>
    <w:pPr>
      <w:spacing w:line="300" w:lineRule="exact"/>
      <w:ind w:left="1049"/>
    </w:pPr>
    <w:rPr>
      <w:rFonts w:ascii="宋体"/>
    </w:rPr>
  </w:style>
  <w:style w:type="paragraph" w:styleId="23">
    <w:name w:val="table of figures"/>
    <w:basedOn w:val="1"/>
    <w:next w:val="1"/>
    <w:autoRedefine/>
    <w:semiHidden/>
    <w:qFormat/>
    <w:uiPriority w:val="0"/>
    <w:pPr>
      <w:adjustRightInd/>
      <w:spacing w:line="240" w:lineRule="auto"/>
      <w:jc w:val="left"/>
    </w:pPr>
    <w:rPr>
      <w:szCs w:val="24"/>
    </w:rPr>
  </w:style>
  <w:style w:type="paragraph" w:styleId="24">
    <w:name w:val="toc 2"/>
    <w:basedOn w:val="1"/>
    <w:next w:val="1"/>
    <w:autoRedefine/>
    <w:unhideWhenUsed/>
    <w:qFormat/>
    <w:uiPriority w:val="39"/>
    <w:pPr>
      <w:tabs>
        <w:tab w:val="right" w:leader="dot" w:pos="9344"/>
      </w:tabs>
      <w:spacing w:line="300" w:lineRule="exact"/>
      <w:ind w:left="210"/>
    </w:pPr>
    <w:rPr>
      <w:rFonts w:ascii="宋体"/>
    </w:rPr>
  </w:style>
  <w:style w:type="paragraph" w:styleId="25">
    <w:name w:val="Normal (Web)"/>
    <w:basedOn w:val="1"/>
    <w:semiHidden/>
    <w:unhideWhenUsed/>
    <w:qFormat/>
    <w:uiPriority w:val="99"/>
    <w:rPr>
      <w:sz w:val="24"/>
    </w:rPr>
  </w:style>
  <w:style w:type="paragraph" w:styleId="26">
    <w:name w:val="Title"/>
    <w:basedOn w:val="1"/>
    <w:link w:val="49"/>
    <w:autoRedefine/>
    <w:qFormat/>
    <w:uiPriority w:val="0"/>
    <w:pPr>
      <w:spacing w:before="240" w:after="60"/>
      <w:jc w:val="center"/>
      <w:outlineLvl w:val="0"/>
    </w:pPr>
    <w:rPr>
      <w:rFonts w:ascii="Arial" w:hAnsi="Arial" w:cs="Arial"/>
      <w:b/>
      <w:bCs/>
      <w:sz w:val="32"/>
      <w:szCs w:val="32"/>
    </w:rPr>
  </w:style>
  <w:style w:type="table" w:styleId="28">
    <w:name w:val="Table Grid"/>
    <w:basedOn w:val="27"/>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Strong"/>
    <w:autoRedefine/>
    <w:qFormat/>
    <w:uiPriority w:val="22"/>
    <w:rPr>
      <w:b/>
      <w:bCs/>
    </w:rPr>
  </w:style>
  <w:style w:type="character" w:styleId="31">
    <w:name w:val="page number"/>
    <w:autoRedefine/>
    <w:qFormat/>
    <w:uiPriority w:val="0"/>
    <w:rPr>
      <w:rFonts w:ascii="宋体" w:hAnsi="Times New Roman" w:eastAsia="宋体"/>
      <w:sz w:val="18"/>
    </w:rPr>
  </w:style>
  <w:style w:type="character" w:styleId="32">
    <w:name w:val="Emphasis"/>
    <w:autoRedefine/>
    <w:qFormat/>
    <w:uiPriority w:val="20"/>
    <w:rPr>
      <w:i/>
      <w:iCs/>
    </w:rPr>
  </w:style>
  <w:style w:type="character" w:styleId="33">
    <w:name w:val="Hyperlink"/>
    <w:autoRedefine/>
    <w:qFormat/>
    <w:uiPriority w:val="99"/>
    <w:rPr>
      <w:rFonts w:ascii="宋体" w:hAnsi="Times New Roman" w:eastAsia="宋体"/>
      <w:color w:val="auto"/>
      <w:spacing w:val="0"/>
      <w:w w:val="100"/>
      <w:position w:val="0"/>
      <w:sz w:val="21"/>
      <w:u w:val="none"/>
      <w:vertAlign w:val="baseline"/>
    </w:rPr>
  </w:style>
  <w:style w:type="character" w:styleId="34">
    <w:name w:val="footnote reference"/>
    <w:autoRedefine/>
    <w:semiHidden/>
    <w:qFormat/>
    <w:uiPriority w:val="0"/>
    <w:rPr>
      <w:rFonts w:ascii="宋体" w:hAnsi="宋体" w:eastAsia="宋体" w:cs="Times New Roman"/>
      <w:spacing w:val="0"/>
      <w:sz w:val="18"/>
      <w:vertAlign w:val="superscript"/>
    </w:rPr>
  </w:style>
  <w:style w:type="character" w:customStyle="1" w:styleId="35">
    <w:name w:val="标题 1 字符"/>
    <w:link w:val="2"/>
    <w:autoRedefine/>
    <w:qFormat/>
    <w:uiPriority w:val="0"/>
    <w:rPr>
      <w:b/>
      <w:bCs/>
      <w:kern w:val="44"/>
      <w:sz w:val="44"/>
      <w:szCs w:val="44"/>
    </w:rPr>
  </w:style>
  <w:style w:type="character" w:customStyle="1" w:styleId="36">
    <w:name w:val="标题 2 字符"/>
    <w:link w:val="3"/>
    <w:autoRedefine/>
    <w:qFormat/>
    <w:uiPriority w:val="0"/>
    <w:rPr>
      <w:rFonts w:ascii="Arial" w:hAnsi="Arial" w:eastAsia="黑体"/>
      <w:b/>
      <w:bCs/>
      <w:kern w:val="2"/>
      <w:sz w:val="32"/>
      <w:szCs w:val="32"/>
    </w:rPr>
  </w:style>
  <w:style w:type="character" w:customStyle="1" w:styleId="37">
    <w:name w:val="标题 3 字符"/>
    <w:link w:val="4"/>
    <w:autoRedefine/>
    <w:qFormat/>
    <w:uiPriority w:val="0"/>
    <w:rPr>
      <w:b/>
      <w:bCs/>
      <w:kern w:val="2"/>
      <w:sz w:val="32"/>
      <w:szCs w:val="32"/>
    </w:rPr>
  </w:style>
  <w:style w:type="character" w:customStyle="1" w:styleId="38">
    <w:name w:val="标题 4 字符"/>
    <w:link w:val="5"/>
    <w:autoRedefine/>
    <w:qFormat/>
    <w:uiPriority w:val="0"/>
    <w:rPr>
      <w:rFonts w:ascii="Arial" w:hAnsi="Arial" w:eastAsia="黑体"/>
      <w:b/>
      <w:bCs/>
      <w:kern w:val="2"/>
      <w:sz w:val="28"/>
      <w:szCs w:val="28"/>
    </w:rPr>
  </w:style>
  <w:style w:type="character" w:customStyle="1" w:styleId="39">
    <w:name w:val="标题 5 字符"/>
    <w:link w:val="6"/>
    <w:autoRedefine/>
    <w:qFormat/>
    <w:uiPriority w:val="0"/>
    <w:rPr>
      <w:b/>
      <w:bCs/>
      <w:kern w:val="2"/>
      <w:sz w:val="28"/>
      <w:szCs w:val="28"/>
    </w:rPr>
  </w:style>
  <w:style w:type="character" w:customStyle="1" w:styleId="40">
    <w:name w:val="标题 6 字符"/>
    <w:link w:val="7"/>
    <w:autoRedefine/>
    <w:qFormat/>
    <w:uiPriority w:val="0"/>
    <w:rPr>
      <w:rFonts w:ascii="Arial" w:hAnsi="Arial" w:eastAsia="黑体"/>
      <w:b/>
      <w:bCs/>
      <w:kern w:val="2"/>
      <w:sz w:val="24"/>
      <w:szCs w:val="24"/>
    </w:rPr>
  </w:style>
  <w:style w:type="character" w:customStyle="1" w:styleId="41">
    <w:name w:val="标题 7 字符"/>
    <w:link w:val="8"/>
    <w:autoRedefine/>
    <w:qFormat/>
    <w:uiPriority w:val="0"/>
    <w:rPr>
      <w:b/>
      <w:bCs/>
      <w:kern w:val="2"/>
      <w:sz w:val="24"/>
      <w:szCs w:val="24"/>
    </w:rPr>
  </w:style>
  <w:style w:type="character" w:customStyle="1" w:styleId="42">
    <w:name w:val="标题 8 字符"/>
    <w:link w:val="9"/>
    <w:autoRedefine/>
    <w:qFormat/>
    <w:uiPriority w:val="0"/>
    <w:rPr>
      <w:rFonts w:ascii="Arial" w:hAnsi="Arial" w:eastAsia="黑体"/>
      <w:kern w:val="2"/>
      <w:sz w:val="24"/>
      <w:szCs w:val="24"/>
    </w:rPr>
  </w:style>
  <w:style w:type="character" w:customStyle="1" w:styleId="43">
    <w:name w:val="标题 9 字符"/>
    <w:link w:val="10"/>
    <w:autoRedefine/>
    <w:qFormat/>
    <w:uiPriority w:val="0"/>
    <w:rPr>
      <w:rFonts w:ascii="Arial" w:hAnsi="Arial" w:eastAsia="黑体"/>
      <w:kern w:val="2"/>
      <w:sz w:val="21"/>
      <w:szCs w:val="21"/>
    </w:rPr>
  </w:style>
  <w:style w:type="character" w:customStyle="1" w:styleId="44">
    <w:name w:val="页眉 字符"/>
    <w:link w:val="18"/>
    <w:autoRedefine/>
    <w:qFormat/>
    <w:uiPriority w:val="99"/>
    <w:rPr>
      <w:kern w:val="2"/>
      <w:sz w:val="18"/>
      <w:szCs w:val="18"/>
    </w:rPr>
  </w:style>
  <w:style w:type="character" w:customStyle="1" w:styleId="45">
    <w:name w:val="页脚 字符"/>
    <w:link w:val="17"/>
    <w:autoRedefine/>
    <w:qFormat/>
    <w:uiPriority w:val="99"/>
    <w:rPr>
      <w:rFonts w:ascii="宋体"/>
      <w:kern w:val="2"/>
      <w:sz w:val="18"/>
      <w:szCs w:val="18"/>
    </w:rPr>
  </w:style>
  <w:style w:type="character" w:customStyle="1" w:styleId="46">
    <w:name w:val="批注框文本 字符"/>
    <w:link w:val="16"/>
    <w:autoRedefine/>
    <w:semiHidden/>
    <w:qFormat/>
    <w:uiPriority w:val="99"/>
    <w:rPr>
      <w:kern w:val="2"/>
      <w:sz w:val="18"/>
      <w:szCs w:val="18"/>
    </w:rPr>
  </w:style>
  <w:style w:type="paragraph" w:styleId="47">
    <w:name w:val="Quote"/>
    <w:basedOn w:val="1"/>
    <w:next w:val="1"/>
    <w:link w:val="48"/>
    <w:autoRedefine/>
    <w:qFormat/>
    <w:uiPriority w:val="29"/>
    <w:rPr>
      <w:i/>
      <w:iCs/>
      <w:color w:val="000000"/>
    </w:rPr>
  </w:style>
  <w:style w:type="character" w:customStyle="1" w:styleId="48">
    <w:name w:val="引用 字符"/>
    <w:link w:val="47"/>
    <w:autoRedefine/>
    <w:qFormat/>
    <w:uiPriority w:val="29"/>
    <w:rPr>
      <w:i/>
      <w:iCs/>
      <w:color w:val="000000"/>
      <w:kern w:val="2"/>
      <w:sz w:val="21"/>
      <w:szCs w:val="21"/>
    </w:rPr>
  </w:style>
  <w:style w:type="character" w:customStyle="1" w:styleId="49">
    <w:name w:val="标题 字符"/>
    <w:link w:val="26"/>
    <w:autoRedefine/>
    <w:qFormat/>
    <w:uiPriority w:val="0"/>
    <w:rPr>
      <w:rFonts w:ascii="Arial" w:hAnsi="Arial" w:cs="Arial"/>
      <w:b/>
      <w:bCs/>
      <w:kern w:val="2"/>
      <w:sz w:val="32"/>
      <w:szCs w:val="32"/>
    </w:rPr>
  </w:style>
  <w:style w:type="paragraph" w:customStyle="1" w:styleId="50">
    <w:name w:val="标准标志"/>
    <w:next w:val="1"/>
    <w:autoRedefine/>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1">
    <w:name w:val="标准称谓"/>
    <w:next w:val="1"/>
    <w:autoRedefine/>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2">
    <w:name w:val="标准文件_页脚偶数页"/>
    <w:autoRedefine/>
    <w:qFormat/>
    <w:uiPriority w:val="0"/>
    <w:pPr>
      <w:ind w:left="198"/>
    </w:pPr>
    <w:rPr>
      <w:rFonts w:ascii="宋体" w:hAnsi="Times New Roman" w:eastAsia="宋体" w:cs="Times New Roman"/>
      <w:sz w:val="18"/>
      <w:lang w:val="en-US" w:eastAsia="zh-CN" w:bidi="ar-SA"/>
    </w:rPr>
  </w:style>
  <w:style w:type="paragraph" w:customStyle="1" w:styleId="53">
    <w:name w:val="标准文件_页脚奇数页"/>
    <w:autoRedefine/>
    <w:qFormat/>
    <w:uiPriority w:val="0"/>
    <w:pPr>
      <w:ind w:right="227"/>
      <w:jc w:val="right"/>
    </w:pPr>
    <w:rPr>
      <w:rFonts w:ascii="宋体" w:hAnsi="Times New Roman" w:eastAsia="宋体" w:cs="Times New Roman"/>
      <w:sz w:val="18"/>
      <w:lang w:val="en-US" w:eastAsia="zh-CN" w:bidi="ar-SA"/>
    </w:rPr>
  </w:style>
  <w:style w:type="paragraph" w:customStyle="1" w:styleId="54">
    <w:name w:val="标准书眉一"/>
    <w:autoRedefine/>
    <w:qFormat/>
    <w:uiPriority w:val="0"/>
    <w:pPr>
      <w:jc w:val="both"/>
    </w:pPr>
    <w:rPr>
      <w:rFonts w:ascii="Times New Roman" w:hAnsi="Times New Roman" w:eastAsia="宋体" w:cs="Times New Roman"/>
      <w:lang w:val="en-US" w:eastAsia="zh-CN" w:bidi="ar-SA"/>
    </w:rPr>
  </w:style>
  <w:style w:type="paragraph" w:customStyle="1" w:styleId="55">
    <w:name w:val="标准文件_ICS"/>
    <w:basedOn w:val="1"/>
    <w:autoRedefine/>
    <w:qFormat/>
    <w:uiPriority w:val="0"/>
    <w:pPr>
      <w:spacing w:line="0" w:lineRule="atLeast"/>
    </w:pPr>
    <w:rPr>
      <w:rFonts w:ascii="黑体" w:hAnsi="宋体" w:eastAsia="黑体"/>
    </w:rPr>
  </w:style>
  <w:style w:type="paragraph" w:customStyle="1" w:styleId="56">
    <w:name w:val="标准文件_标准正文"/>
    <w:basedOn w:val="1"/>
    <w:next w:val="57"/>
    <w:autoRedefine/>
    <w:qFormat/>
    <w:uiPriority w:val="0"/>
    <w:pPr>
      <w:snapToGrid w:val="0"/>
      <w:ind w:firstLine="200" w:firstLineChars="200"/>
    </w:pPr>
    <w:rPr>
      <w:kern w:val="0"/>
    </w:rPr>
  </w:style>
  <w:style w:type="paragraph" w:customStyle="1" w:styleId="57">
    <w:name w:val="标准文件_段"/>
    <w:link w:val="185"/>
    <w:autoRedefine/>
    <w:qFormat/>
    <w:uiPriority w:val="0"/>
    <w:pPr>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58">
    <w:name w:val="标准文件_版本"/>
    <w:basedOn w:val="56"/>
    <w:autoRedefine/>
    <w:qFormat/>
    <w:uiPriority w:val="0"/>
    <w:pPr>
      <w:adjustRightInd/>
      <w:snapToGrid/>
      <w:ind w:firstLine="0" w:firstLineChars="0"/>
    </w:pPr>
    <w:rPr>
      <w:rFonts w:ascii="宋体" w:hAnsi="宋体"/>
      <w:kern w:val="2"/>
    </w:rPr>
  </w:style>
  <w:style w:type="paragraph" w:customStyle="1" w:styleId="59">
    <w:name w:val="标准文件_标准部门"/>
    <w:basedOn w:val="1"/>
    <w:autoRedefine/>
    <w:qFormat/>
    <w:uiPriority w:val="0"/>
    <w:pPr>
      <w:jc w:val="center"/>
    </w:pPr>
    <w:rPr>
      <w:rFonts w:ascii="黑体" w:eastAsia="黑体"/>
      <w:kern w:val="0"/>
      <w:sz w:val="44"/>
    </w:rPr>
  </w:style>
  <w:style w:type="paragraph" w:customStyle="1" w:styleId="60">
    <w:name w:val="标准文件_标准代替"/>
    <w:basedOn w:val="1"/>
    <w:next w:val="1"/>
    <w:autoRedefine/>
    <w:qFormat/>
    <w:uiPriority w:val="0"/>
    <w:pPr>
      <w:spacing w:line="310" w:lineRule="exact"/>
      <w:jc w:val="right"/>
    </w:pPr>
    <w:rPr>
      <w:rFonts w:ascii="宋体" w:hAnsi="宋体"/>
      <w:kern w:val="0"/>
    </w:rPr>
  </w:style>
  <w:style w:type="paragraph" w:customStyle="1" w:styleId="61">
    <w:name w:val="标准文件_标准名称标题"/>
    <w:basedOn w:val="1"/>
    <w:next w:val="1"/>
    <w:autoRedefine/>
    <w:qFormat/>
    <w:uiPriority w:val="0"/>
    <w:pPr>
      <w:widowControl/>
      <w:shd w:val="clear" w:color="FFFFFF" w:fill="FFFFFF"/>
      <w:adjustRightInd/>
      <w:spacing w:before="640" w:after="100"/>
      <w:jc w:val="center"/>
    </w:pPr>
    <w:rPr>
      <w:rFonts w:ascii="黑体" w:eastAsia="黑体"/>
      <w:kern w:val="0"/>
      <w:sz w:val="32"/>
    </w:rPr>
  </w:style>
  <w:style w:type="paragraph" w:customStyle="1" w:styleId="62">
    <w:name w:val="标准文件_页眉奇数页"/>
    <w:next w:val="1"/>
    <w:autoRedefine/>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3">
    <w:name w:val="标准文件_页眉偶数页"/>
    <w:basedOn w:val="62"/>
    <w:next w:val="1"/>
    <w:autoRedefine/>
    <w:qFormat/>
    <w:uiPriority w:val="0"/>
    <w:pPr>
      <w:jc w:val="left"/>
    </w:pPr>
  </w:style>
  <w:style w:type="paragraph" w:customStyle="1" w:styleId="64">
    <w:name w:val="标准文件_参考文献标题"/>
    <w:basedOn w:val="1"/>
    <w:next w:val="1"/>
    <w:autoRedefine/>
    <w:qFormat/>
    <w:uiPriority w:val="0"/>
    <w:pPr>
      <w:widowControl/>
      <w:shd w:val="clear" w:color="FFFFFF" w:fill="FFFFFF"/>
      <w:adjustRightInd/>
      <w:spacing w:before="580" w:after="50" w:afterLines="50" w:line="240" w:lineRule="auto"/>
      <w:jc w:val="center"/>
      <w:outlineLvl w:val="0"/>
    </w:pPr>
    <w:rPr>
      <w:rFonts w:ascii="黑体" w:eastAsia="黑体"/>
      <w:kern w:val="0"/>
    </w:rPr>
  </w:style>
  <w:style w:type="paragraph" w:customStyle="1" w:styleId="65">
    <w:name w:val="标准文件_参考文献条目"/>
    <w:autoRedefine/>
    <w:qFormat/>
    <w:uiPriority w:val="0"/>
    <w:pPr>
      <w:numPr>
        <w:ilvl w:val="0"/>
        <w:numId w:val="1"/>
      </w:numPr>
    </w:pPr>
    <w:rPr>
      <w:rFonts w:ascii="宋体" w:hAnsi="Times New Roman" w:eastAsia="宋体" w:cs="Times New Roman"/>
      <w:lang w:val="en-US" w:eastAsia="zh-CN" w:bidi="ar-SA"/>
    </w:rPr>
  </w:style>
  <w:style w:type="paragraph" w:customStyle="1" w:styleId="66">
    <w:name w:val="标准文件_二级条标题"/>
    <w:next w:val="57"/>
    <w:autoRedefine/>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7">
    <w:name w:val="标准文件_发布"/>
    <w:autoRedefine/>
    <w:qFormat/>
    <w:uiPriority w:val="0"/>
    <w:rPr>
      <w:rFonts w:ascii="黑体" w:eastAsia="黑体"/>
      <w:spacing w:val="0"/>
      <w:w w:val="100"/>
      <w:position w:val="3"/>
      <w:sz w:val="28"/>
    </w:rPr>
  </w:style>
  <w:style w:type="paragraph" w:customStyle="1" w:styleId="68">
    <w:name w:val="标准文件_方框数字列项"/>
    <w:basedOn w:val="57"/>
    <w:autoRedefine/>
    <w:qFormat/>
    <w:uiPriority w:val="0"/>
    <w:pPr>
      <w:numPr>
        <w:ilvl w:val="0"/>
        <w:numId w:val="3"/>
      </w:numPr>
      <w:ind w:firstLine="0" w:firstLineChars="0"/>
    </w:pPr>
  </w:style>
  <w:style w:type="paragraph" w:customStyle="1" w:styleId="69">
    <w:name w:val="标准文件_封面标准编号"/>
    <w:basedOn w:val="1"/>
    <w:next w:val="60"/>
    <w:autoRedefine/>
    <w:qFormat/>
    <w:uiPriority w:val="0"/>
    <w:pPr>
      <w:spacing w:line="310" w:lineRule="exact"/>
      <w:jc w:val="right"/>
    </w:pPr>
    <w:rPr>
      <w:rFonts w:ascii="黑体" w:eastAsia="黑体"/>
      <w:kern w:val="0"/>
      <w:sz w:val="28"/>
    </w:rPr>
  </w:style>
  <w:style w:type="paragraph" w:customStyle="1" w:styleId="70">
    <w:name w:val="标准文件_封面标准分类号"/>
    <w:basedOn w:val="1"/>
    <w:autoRedefine/>
    <w:qFormat/>
    <w:uiPriority w:val="0"/>
    <w:rPr>
      <w:rFonts w:ascii="黑体" w:eastAsia="黑体"/>
      <w:b/>
      <w:kern w:val="0"/>
      <w:sz w:val="28"/>
    </w:rPr>
  </w:style>
  <w:style w:type="paragraph" w:customStyle="1" w:styleId="71">
    <w:name w:val="标准文件_封面标准名称"/>
    <w:basedOn w:val="1"/>
    <w:autoRedefine/>
    <w:qFormat/>
    <w:uiPriority w:val="0"/>
    <w:pPr>
      <w:spacing w:line="240" w:lineRule="auto"/>
      <w:jc w:val="center"/>
    </w:pPr>
    <w:rPr>
      <w:rFonts w:ascii="黑体" w:eastAsia="黑体"/>
      <w:kern w:val="0"/>
      <w:sz w:val="52"/>
    </w:rPr>
  </w:style>
  <w:style w:type="paragraph" w:customStyle="1" w:styleId="72">
    <w:name w:val="标准文件_封面标准英文名称"/>
    <w:basedOn w:val="1"/>
    <w:autoRedefine/>
    <w:qFormat/>
    <w:uiPriority w:val="0"/>
    <w:pPr>
      <w:spacing w:line="240" w:lineRule="auto"/>
      <w:jc w:val="center"/>
    </w:pPr>
    <w:rPr>
      <w:rFonts w:ascii="黑体" w:eastAsia="黑体"/>
      <w:b/>
      <w:sz w:val="28"/>
    </w:rPr>
  </w:style>
  <w:style w:type="paragraph" w:customStyle="1" w:styleId="73">
    <w:name w:val="标准文件_封面发布日期"/>
    <w:basedOn w:val="1"/>
    <w:autoRedefine/>
    <w:qFormat/>
    <w:uiPriority w:val="0"/>
    <w:pPr>
      <w:spacing w:line="310" w:lineRule="exact"/>
    </w:pPr>
    <w:rPr>
      <w:rFonts w:ascii="黑体" w:eastAsia="黑体"/>
      <w:kern w:val="0"/>
      <w:sz w:val="28"/>
    </w:rPr>
  </w:style>
  <w:style w:type="paragraph" w:customStyle="1" w:styleId="74">
    <w:name w:val="标准文件_封面密级"/>
    <w:basedOn w:val="1"/>
    <w:autoRedefine/>
    <w:qFormat/>
    <w:uiPriority w:val="0"/>
    <w:rPr>
      <w:rFonts w:eastAsia="黑体"/>
      <w:sz w:val="32"/>
    </w:rPr>
  </w:style>
  <w:style w:type="paragraph" w:customStyle="1" w:styleId="75">
    <w:name w:val="标准文件_封面实施日期"/>
    <w:basedOn w:val="1"/>
    <w:qFormat/>
    <w:uiPriority w:val="0"/>
    <w:pPr>
      <w:spacing w:line="310" w:lineRule="exact"/>
      <w:jc w:val="right"/>
    </w:pPr>
    <w:rPr>
      <w:rFonts w:ascii="黑体" w:eastAsia="黑体"/>
      <w:sz w:val="28"/>
    </w:rPr>
  </w:style>
  <w:style w:type="paragraph" w:customStyle="1" w:styleId="76">
    <w:name w:val="标准文件_封面抬头"/>
    <w:basedOn w:val="57"/>
    <w:qFormat/>
    <w:uiPriority w:val="0"/>
    <w:pPr>
      <w:adjustRightInd w:val="0"/>
      <w:spacing w:line="800" w:lineRule="exact"/>
      <w:ind w:firstLine="0" w:firstLineChars="0"/>
      <w:jc w:val="distribute"/>
    </w:pPr>
    <w:rPr>
      <w:rFonts w:ascii="黑体" w:eastAsia="黑体"/>
      <w:b/>
      <w:sz w:val="64"/>
    </w:rPr>
  </w:style>
  <w:style w:type="paragraph" w:customStyle="1" w:styleId="77">
    <w:name w:val="标准文件_附录标识"/>
    <w:next w:val="57"/>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78">
    <w:name w:val="标准文件_附录表标题"/>
    <w:next w:val="57"/>
    <w:autoRedefine/>
    <w:qFormat/>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79">
    <w:name w:val="标准文件_附录一级条标题"/>
    <w:next w:val="57"/>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80">
    <w:name w:val="标准文件_附录二级条标题"/>
    <w:basedOn w:val="79"/>
    <w:next w:val="57"/>
    <w:qFormat/>
    <w:uiPriority w:val="0"/>
    <w:pPr>
      <w:widowControl/>
      <w:numPr>
        <w:ilvl w:val="2"/>
      </w:numPr>
      <w:wordWrap w:val="0"/>
      <w:overflowPunct w:val="0"/>
      <w:autoSpaceDE w:val="0"/>
      <w:autoSpaceDN w:val="0"/>
      <w:textAlignment w:val="baseline"/>
      <w:outlineLvl w:val="3"/>
    </w:pPr>
  </w:style>
  <w:style w:type="paragraph" w:customStyle="1" w:styleId="81">
    <w:name w:val="标准文件_附录公式"/>
    <w:basedOn w:val="56"/>
    <w:next w:val="56"/>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2">
    <w:name w:val="标准文件_附录三级条标题"/>
    <w:next w:val="57"/>
    <w:autoRedefine/>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3">
    <w:name w:val="标准文件_附录四级条标题"/>
    <w:next w:val="57"/>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4">
    <w:name w:val="标准文件_附录图标题"/>
    <w:next w:val="57"/>
    <w:autoRedefine/>
    <w:qFormat/>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5">
    <w:name w:val="标准文件_附录五级条标题"/>
    <w:next w:val="57"/>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6">
    <w:name w:val="标准文件_附录英文标识"/>
    <w:next w:val="13"/>
    <w:autoRedefine/>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7">
    <w:name w:val="正文文本 字符"/>
    <w:link w:val="13"/>
    <w:qFormat/>
    <w:uiPriority w:val="0"/>
    <w:rPr>
      <w:kern w:val="2"/>
      <w:sz w:val="21"/>
      <w:szCs w:val="21"/>
    </w:rPr>
  </w:style>
  <w:style w:type="paragraph" w:customStyle="1" w:styleId="88">
    <w:name w:val="标准文件_附录章标题"/>
    <w:next w:val="57"/>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9">
    <w:name w:val="标准文件_公式后的破折号"/>
    <w:basedOn w:val="57"/>
    <w:next w:val="57"/>
    <w:qFormat/>
    <w:uiPriority w:val="0"/>
    <w:pPr>
      <w:ind w:left="488" w:leftChars="200" w:hanging="289" w:hangingChars="290"/>
    </w:pPr>
  </w:style>
  <w:style w:type="paragraph" w:customStyle="1" w:styleId="90">
    <w:name w:val="标准文件_前言、引言标题"/>
    <w:next w:val="1"/>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91">
    <w:name w:val="标准文件_目次、标准名称标题"/>
    <w:basedOn w:val="90"/>
    <w:next w:val="57"/>
    <w:autoRedefine/>
    <w:qFormat/>
    <w:uiPriority w:val="0"/>
    <w:pPr>
      <w:spacing w:line="460" w:lineRule="exact"/>
      <w:ind w:left="0" w:firstLine="0"/>
    </w:pPr>
  </w:style>
  <w:style w:type="paragraph" w:customStyle="1" w:styleId="92">
    <w:name w:val="标准文件_目录标题"/>
    <w:basedOn w:val="1"/>
    <w:qFormat/>
    <w:uiPriority w:val="0"/>
    <w:pPr>
      <w:spacing w:before="480" w:after="150" w:afterLines="150" w:line="240" w:lineRule="auto"/>
      <w:jc w:val="center"/>
    </w:pPr>
    <w:rPr>
      <w:rFonts w:ascii="黑体" w:eastAsia="黑体"/>
      <w:sz w:val="32"/>
    </w:rPr>
  </w:style>
  <w:style w:type="paragraph" w:customStyle="1" w:styleId="93">
    <w:name w:val="标准文件_破折号列项"/>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4">
    <w:name w:val="标准文件_破折号列项（二级）"/>
    <w:basedOn w:val="93"/>
    <w:qFormat/>
    <w:uiPriority w:val="0"/>
    <w:pPr>
      <w:numPr>
        <w:numId w:val="10"/>
      </w:numPr>
    </w:pPr>
  </w:style>
  <w:style w:type="paragraph" w:customStyle="1" w:styleId="95">
    <w:name w:val="标准文件_三级条标题"/>
    <w:basedOn w:val="66"/>
    <w:next w:val="57"/>
    <w:qFormat/>
    <w:uiPriority w:val="0"/>
    <w:pPr>
      <w:widowControl/>
      <w:numPr>
        <w:ilvl w:val="4"/>
      </w:numPr>
      <w:outlineLvl w:val="3"/>
    </w:pPr>
  </w:style>
  <w:style w:type="character" w:customStyle="1" w:styleId="96">
    <w:name w:val="不明显参考1"/>
    <w:autoRedefine/>
    <w:qFormat/>
    <w:uiPriority w:val="31"/>
    <w:rPr>
      <w:smallCaps/>
      <w:color w:val="C0504D"/>
      <w:u w:val="single"/>
    </w:rPr>
  </w:style>
  <w:style w:type="paragraph" w:customStyle="1" w:styleId="97">
    <w:name w:val="标准文件_示例后续"/>
    <w:basedOn w:val="1"/>
    <w:autoRedefine/>
    <w:qFormat/>
    <w:uiPriority w:val="0"/>
    <w:pPr>
      <w:adjustRightInd/>
      <w:spacing w:line="240" w:lineRule="auto"/>
      <w:ind w:firstLine="200" w:firstLineChars="200"/>
    </w:pPr>
    <w:rPr>
      <w:sz w:val="18"/>
      <w:szCs w:val="24"/>
    </w:rPr>
  </w:style>
  <w:style w:type="paragraph" w:customStyle="1" w:styleId="98">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99">
    <w:name w:val="标准文件_四级条标题"/>
    <w:next w:val="57"/>
    <w:autoRedefine/>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100">
    <w:name w:val="脚注文本 字符"/>
    <w:link w:val="21"/>
    <w:semiHidden/>
    <w:qFormat/>
    <w:uiPriority w:val="0"/>
    <w:rPr>
      <w:rFonts w:ascii="宋体"/>
      <w:kern w:val="2"/>
      <w:sz w:val="18"/>
      <w:szCs w:val="18"/>
    </w:rPr>
  </w:style>
  <w:style w:type="paragraph" w:customStyle="1" w:styleId="101">
    <w:name w:val="标准文件_条文脚注"/>
    <w:basedOn w:val="21"/>
    <w:autoRedefine/>
    <w:qFormat/>
    <w:uiPriority w:val="0"/>
    <w:pPr>
      <w:adjustRightInd w:val="0"/>
      <w:spacing w:line="240" w:lineRule="auto"/>
      <w:ind w:left="0" w:leftChars="0" w:firstLine="200" w:firstLineChars="200"/>
      <w:jc w:val="both"/>
    </w:pPr>
    <w:rPr>
      <w:rFonts w:hAnsi="宋体"/>
    </w:rPr>
  </w:style>
  <w:style w:type="paragraph" w:customStyle="1" w:styleId="102">
    <w:name w:val="标准文件_图表脚注"/>
    <w:basedOn w:val="1"/>
    <w:next w:val="57"/>
    <w:autoRedefine/>
    <w:qFormat/>
    <w:uiPriority w:val="0"/>
    <w:pPr>
      <w:numPr>
        <w:ilvl w:val="0"/>
        <w:numId w:val="12"/>
      </w:numPr>
      <w:spacing w:line="240" w:lineRule="auto"/>
      <w:jc w:val="left"/>
    </w:pPr>
    <w:rPr>
      <w:rFonts w:ascii="宋体" w:hAnsi="宋体"/>
      <w:sz w:val="18"/>
    </w:rPr>
  </w:style>
  <w:style w:type="character" w:customStyle="1" w:styleId="103">
    <w:name w:val="标准文件_图表脚注内容"/>
    <w:qFormat/>
    <w:uiPriority w:val="0"/>
    <w:rPr>
      <w:rFonts w:ascii="宋体" w:hAnsi="宋体" w:eastAsia="宋体" w:cs="Times New Roman"/>
      <w:spacing w:val="0"/>
      <w:sz w:val="18"/>
      <w:vertAlign w:val="superscript"/>
    </w:rPr>
  </w:style>
  <w:style w:type="paragraph" w:customStyle="1" w:styleId="104">
    <w:name w:val="标准文件_五级条标题"/>
    <w:next w:val="57"/>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5">
    <w:name w:val="标准文件_章标题"/>
    <w:next w:val="57"/>
    <w:autoRedefine/>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6">
    <w:name w:val="标准文件_一级条标题"/>
    <w:basedOn w:val="105"/>
    <w:next w:val="57"/>
    <w:qFormat/>
    <w:uiPriority w:val="0"/>
    <w:pPr>
      <w:numPr>
        <w:ilvl w:val="2"/>
      </w:numPr>
      <w:spacing w:before="50" w:beforeLines="50" w:after="50" w:afterLines="50"/>
      <w:outlineLvl w:val="1"/>
    </w:pPr>
  </w:style>
  <w:style w:type="paragraph" w:customStyle="1" w:styleId="107">
    <w:name w:val="标准文件_一致程度"/>
    <w:basedOn w:val="1"/>
    <w:autoRedefine/>
    <w:qFormat/>
    <w:uiPriority w:val="0"/>
    <w:pPr>
      <w:spacing w:line="440" w:lineRule="exact"/>
      <w:jc w:val="center"/>
    </w:pPr>
    <w:rPr>
      <w:sz w:val="28"/>
    </w:rPr>
  </w:style>
  <w:style w:type="paragraph" w:customStyle="1" w:styleId="108">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9">
    <w:name w:val="标准文件_英文图表脚注"/>
    <w:basedOn w:val="56"/>
    <w:qFormat/>
    <w:uiPriority w:val="0"/>
    <w:pPr>
      <w:widowControl/>
      <w:adjustRightInd/>
      <w:snapToGrid/>
      <w:spacing w:line="240" w:lineRule="auto"/>
      <w:ind w:left="79" w:hanging="79" w:hangingChars="80"/>
    </w:pPr>
    <w:rPr>
      <w:rFonts w:ascii="宋体" w:hAnsi="宋体"/>
    </w:rPr>
  </w:style>
  <w:style w:type="paragraph" w:customStyle="1" w:styleId="110">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1">
    <w:name w:val="标准文件_英文注："/>
    <w:basedOn w:val="1"/>
    <w:next w:val="57"/>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2">
    <w:name w:val="标准文件_英文注×："/>
    <w:basedOn w:val="1"/>
    <w:autoRedefine/>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3">
    <w:name w:val="标准文件_正文表标题"/>
    <w:next w:val="57"/>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4">
    <w:name w:val="标准文件_正文公式"/>
    <w:basedOn w:val="1"/>
    <w:next w:val="56"/>
    <w:autoRedefine/>
    <w:qFormat/>
    <w:uiPriority w:val="0"/>
    <w:pPr>
      <w:tabs>
        <w:tab w:val="center" w:pos="4678"/>
        <w:tab w:val="right" w:leader="middleDot" w:pos="9356"/>
      </w:tabs>
      <w:spacing w:line="240" w:lineRule="auto"/>
    </w:pPr>
    <w:rPr>
      <w:rFonts w:ascii="宋体" w:hAnsi="宋体"/>
    </w:rPr>
  </w:style>
  <w:style w:type="paragraph" w:customStyle="1" w:styleId="115">
    <w:name w:val="标准文件_正文图标题"/>
    <w:next w:val="57"/>
    <w:autoRedefine/>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6">
    <w:name w:val="标准文件_正文英文表标题"/>
    <w:next w:val="57"/>
    <w:autoRedefine/>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7">
    <w:name w:val="标准文件_正文英文图标题"/>
    <w:next w:val="57"/>
    <w:autoRedefine/>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8">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19">
    <w:name w:val="二级无标题条"/>
    <w:basedOn w:val="1"/>
    <w:qFormat/>
    <w:uiPriority w:val="0"/>
    <w:pPr>
      <w:numPr>
        <w:ilvl w:val="3"/>
        <w:numId w:val="20"/>
      </w:numPr>
      <w:adjustRightInd/>
      <w:spacing w:line="240" w:lineRule="auto"/>
    </w:pPr>
    <w:rPr>
      <w:rFonts w:ascii="宋体" w:hAnsi="宋体"/>
      <w:szCs w:val="24"/>
    </w:rPr>
  </w:style>
  <w:style w:type="paragraph" w:customStyle="1" w:styleId="120">
    <w:name w:val="发布部门"/>
    <w:next w:val="57"/>
    <w:autoRedefine/>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1">
    <w:name w:val="发布日期"/>
    <w:autoRedefine/>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2">
    <w:name w:val="封面标准代替信息"/>
    <w:basedOn w:val="1"/>
    <w:autoRedefine/>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3">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4">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5">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6">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7">
    <w:name w:val="封面一致性程度标识"/>
    <w:autoRedefine/>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8">
    <w:name w:val="封面正文"/>
    <w:qFormat/>
    <w:uiPriority w:val="0"/>
    <w:pPr>
      <w:jc w:val="both"/>
    </w:pPr>
    <w:rPr>
      <w:rFonts w:ascii="Times New Roman" w:hAnsi="Times New Roman" w:eastAsia="宋体" w:cs="Times New Roman"/>
      <w:lang w:val="en-US" w:eastAsia="zh-CN" w:bidi="ar-SA"/>
    </w:rPr>
  </w:style>
  <w:style w:type="paragraph" w:customStyle="1" w:styleId="129">
    <w:name w:val="附录二级无标题条"/>
    <w:basedOn w:val="1"/>
    <w:next w:val="57"/>
    <w:autoRedefine/>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30">
    <w:name w:val="附录三级无标题条"/>
    <w:basedOn w:val="129"/>
    <w:next w:val="57"/>
    <w:qFormat/>
    <w:uiPriority w:val="0"/>
    <w:pPr>
      <w:outlineLvl w:val="4"/>
    </w:pPr>
  </w:style>
  <w:style w:type="paragraph" w:customStyle="1" w:styleId="131">
    <w:name w:val="附录四级无标题条"/>
    <w:basedOn w:val="130"/>
    <w:next w:val="57"/>
    <w:autoRedefine/>
    <w:qFormat/>
    <w:uiPriority w:val="0"/>
    <w:pPr>
      <w:outlineLvl w:val="5"/>
    </w:pPr>
  </w:style>
  <w:style w:type="paragraph" w:customStyle="1" w:styleId="132">
    <w:name w:val="附录图"/>
    <w:next w:val="57"/>
    <w:autoRedefine/>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3">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4">
    <w:name w:val="附录五级无标题条"/>
    <w:basedOn w:val="131"/>
    <w:next w:val="57"/>
    <w:qFormat/>
    <w:uiPriority w:val="0"/>
    <w:pPr>
      <w:outlineLvl w:val="6"/>
    </w:pPr>
  </w:style>
  <w:style w:type="paragraph" w:customStyle="1" w:styleId="135">
    <w:name w:val="附录性质"/>
    <w:basedOn w:val="1"/>
    <w:autoRedefine/>
    <w:qFormat/>
    <w:uiPriority w:val="0"/>
    <w:pPr>
      <w:widowControl/>
      <w:adjustRightInd/>
      <w:jc w:val="center"/>
    </w:pPr>
    <w:rPr>
      <w:rFonts w:ascii="黑体" w:eastAsia="黑体"/>
    </w:rPr>
  </w:style>
  <w:style w:type="paragraph" w:customStyle="1" w:styleId="136">
    <w:name w:val="附录一级无标题条"/>
    <w:basedOn w:val="88"/>
    <w:next w:val="57"/>
    <w:autoRedefine/>
    <w:qFormat/>
    <w:uiPriority w:val="0"/>
    <w:pPr>
      <w:autoSpaceDN w:val="0"/>
      <w:outlineLvl w:val="2"/>
    </w:pPr>
    <w:rPr>
      <w:rFonts w:ascii="宋体" w:hAnsi="宋体" w:eastAsia="宋体"/>
    </w:rPr>
  </w:style>
  <w:style w:type="character" w:customStyle="1" w:styleId="137">
    <w:name w:val="个人答复风格"/>
    <w:autoRedefine/>
    <w:qFormat/>
    <w:uiPriority w:val="0"/>
    <w:rPr>
      <w:rFonts w:ascii="Arial" w:hAnsi="Arial" w:eastAsia="宋体" w:cs="Arial"/>
      <w:color w:val="auto"/>
      <w:spacing w:val="0"/>
      <w:sz w:val="20"/>
    </w:rPr>
  </w:style>
  <w:style w:type="character" w:customStyle="1" w:styleId="138">
    <w:name w:val="个人撰写风格"/>
    <w:qFormat/>
    <w:uiPriority w:val="0"/>
    <w:rPr>
      <w:rFonts w:ascii="Arial" w:hAnsi="Arial" w:eastAsia="宋体" w:cs="Arial"/>
      <w:color w:val="auto"/>
      <w:spacing w:val="0"/>
      <w:sz w:val="20"/>
    </w:rPr>
  </w:style>
  <w:style w:type="paragraph" w:customStyle="1" w:styleId="139">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40">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1">
    <w:name w:val="列项·"/>
    <w:basedOn w:val="57"/>
    <w:qFormat/>
    <w:uiPriority w:val="0"/>
    <w:pPr>
      <w:tabs>
        <w:tab w:val="left" w:pos="840"/>
      </w:tabs>
    </w:pPr>
  </w:style>
  <w:style w:type="paragraph" w:customStyle="1" w:styleId="142">
    <w:name w:val="目次、索引正文"/>
    <w:autoRedefine/>
    <w:qFormat/>
    <w:uiPriority w:val="0"/>
    <w:pPr>
      <w:spacing w:line="320" w:lineRule="exact"/>
      <w:jc w:val="both"/>
    </w:pPr>
    <w:rPr>
      <w:rFonts w:ascii="宋体" w:hAnsi="Times New Roman" w:eastAsia="宋体" w:cs="Times New Roman"/>
      <w:sz w:val="21"/>
      <w:lang w:val="en-US" w:eastAsia="zh-CN" w:bidi="ar-SA"/>
    </w:rPr>
  </w:style>
  <w:style w:type="paragraph" w:customStyle="1" w:styleId="143">
    <w:name w:val="目录 21"/>
    <w:basedOn w:val="1"/>
    <w:next w:val="1"/>
    <w:autoRedefine/>
    <w:semiHidden/>
    <w:qFormat/>
    <w:uiPriority w:val="0"/>
    <w:pPr>
      <w:adjustRightInd/>
      <w:spacing w:line="240" w:lineRule="auto"/>
      <w:jc w:val="left"/>
    </w:pPr>
    <w:rPr>
      <w:bCs/>
      <w:iCs/>
    </w:rPr>
  </w:style>
  <w:style w:type="paragraph" w:customStyle="1" w:styleId="144">
    <w:name w:val="目录 31"/>
    <w:basedOn w:val="1"/>
    <w:next w:val="1"/>
    <w:autoRedefine/>
    <w:semiHidden/>
    <w:qFormat/>
    <w:uiPriority w:val="0"/>
    <w:pPr>
      <w:spacing w:line="240" w:lineRule="auto"/>
    </w:pPr>
    <w:rPr>
      <w:rFonts w:ascii="宋体" w:hAnsi="宋体"/>
      <w:iCs/>
    </w:rPr>
  </w:style>
  <w:style w:type="paragraph" w:customStyle="1" w:styleId="145">
    <w:name w:val="目录 41"/>
    <w:basedOn w:val="1"/>
    <w:next w:val="1"/>
    <w:autoRedefine/>
    <w:semiHidden/>
    <w:qFormat/>
    <w:uiPriority w:val="0"/>
    <w:pPr>
      <w:adjustRightInd/>
      <w:spacing w:line="240" w:lineRule="auto"/>
      <w:jc w:val="left"/>
    </w:pPr>
  </w:style>
  <w:style w:type="paragraph" w:customStyle="1" w:styleId="146">
    <w:name w:val="目录 51"/>
    <w:basedOn w:val="1"/>
    <w:next w:val="1"/>
    <w:autoRedefine/>
    <w:semiHidden/>
    <w:qFormat/>
    <w:uiPriority w:val="0"/>
    <w:pPr>
      <w:spacing w:line="240" w:lineRule="auto"/>
    </w:pPr>
    <w:rPr>
      <w:rFonts w:ascii="宋体" w:hAnsi="宋体"/>
    </w:rPr>
  </w:style>
  <w:style w:type="paragraph" w:customStyle="1" w:styleId="147">
    <w:name w:val="目录 61"/>
    <w:basedOn w:val="1"/>
    <w:next w:val="1"/>
    <w:autoRedefine/>
    <w:semiHidden/>
    <w:qFormat/>
    <w:uiPriority w:val="0"/>
    <w:pPr>
      <w:adjustRightInd/>
      <w:spacing w:line="240" w:lineRule="auto"/>
      <w:jc w:val="left"/>
    </w:pPr>
  </w:style>
  <w:style w:type="paragraph" w:customStyle="1" w:styleId="148">
    <w:name w:val="目录 71"/>
    <w:basedOn w:val="147"/>
    <w:autoRedefine/>
    <w:semiHidden/>
    <w:qFormat/>
    <w:uiPriority w:val="0"/>
    <w:pPr>
      <w:ind w:left="1260"/>
    </w:pPr>
  </w:style>
  <w:style w:type="paragraph" w:customStyle="1" w:styleId="149">
    <w:name w:val="目录 81"/>
    <w:basedOn w:val="148"/>
    <w:autoRedefine/>
    <w:semiHidden/>
    <w:qFormat/>
    <w:uiPriority w:val="0"/>
    <w:pPr>
      <w:ind w:left="1470"/>
    </w:pPr>
  </w:style>
  <w:style w:type="paragraph" w:customStyle="1" w:styleId="150">
    <w:name w:val="目录 91"/>
    <w:basedOn w:val="149"/>
    <w:autoRedefine/>
    <w:semiHidden/>
    <w:qFormat/>
    <w:uiPriority w:val="0"/>
    <w:pPr>
      <w:ind w:left="1680"/>
    </w:pPr>
  </w:style>
  <w:style w:type="paragraph" w:customStyle="1" w:styleId="151">
    <w:name w:val="其他标准称谓"/>
    <w:autoRedefine/>
    <w:qFormat/>
    <w:uiPriority w:val="0"/>
    <w:pPr>
      <w:spacing w:line="0" w:lineRule="atLeast"/>
      <w:jc w:val="distribute"/>
    </w:pPr>
    <w:rPr>
      <w:rFonts w:ascii="黑体" w:hAnsi="宋体" w:eastAsia="黑体" w:cs="Times New Roman"/>
      <w:sz w:val="52"/>
      <w:lang w:val="en-US" w:eastAsia="zh-CN" w:bidi="ar-SA"/>
    </w:rPr>
  </w:style>
  <w:style w:type="paragraph" w:customStyle="1" w:styleId="152">
    <w:name w:val="其他发布部门"/>
    <w:basedOn w:val="120"/>
    <w:qFormat/>
    <w:uiPriority w:val="0"/>
    <w:pPr>
      <w:framePr w:wrap="around"/>
      <w:spacing w:line="0" w:lineRule="atLeast"/>
    </w:pPr>
    <w:rPr>
      <w:rFonts w:ascii="黑体" w:eastAsia="黑体"/>
      <w:b w:val="0"/>
    </w:rPr>
  </w:style>
  <w:style w:type="paragraph" w:customStyle="1" w:styleId="153">
    <w:name w:val="前言标题"/>
    <w:next w:val="1"/>
    <w:autoRedefine/>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4">
    <w:name w:val="三级无标题条"/>
    <w:basedOn w:val="1"/>
    <w:autoRedefine/>
    <w:qFormat/>
    <w:uiPriority w:val="0"/>
    <w:pPr>
      <w:numPr>
        <w:ilvl w:val="4"/>
        <w:numId w:val="20"/>
      </w:numPr>
      <w:adjustRightInd/>
      <w:spacing w:line="240" w:lineRule="auto"/>
    </w:pPr>
    <w:rPr>
      <w:rFonts w:ascii="宋体" w:hAnsi="宋体"/>
      <w:szCs w:val="24"/>
    </w:rPr>
  </w:style>
  <w:style w:type="paragraph" w:customStyle="1" w:styleId="155">
    <w:name w:val="实施日期"/>
    <w:basedOn w:val="121"/>
    <w:qFormat/>
    <w:uiPriority w:val="0"/>
    <w:pPr>
      <w:framePr w:hSpace="0" w:wrap="around" w:xAlign="right"/>
      <w:jc w:val="right"/>
    </w:pPr>
  </w:style>
  <w:style w:type="paragraph" w:customStyle="1" w:styleId="156">
    <w:name w:val="四级无标题条"/>
    <w:basedOn w:val="1"/>
    <w:autoRedefine/>
    <w:qFormat/>
    <w:uiPriority w:val="0"/>
    <w:pPr>
      <w:numPr>
        <w:ilvl w:val="5"/>
        <w:numId w:val="20"/>
      </w:numPr>
      <w:adjustRightInd/>
      <w:spacing w:line="240" w:lineRule="auto"/>
    </w:pPr>
    <w:rPr>
      <w:rFonts w:ascii="宋体" w:hAnsi="宋体"/>
      <w:szCs w:val="24"/>
    </w:rPr>
  </w:style>
  <w:style w:type="paragraph" w:customStyle="1" w:styleId="157">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8">
    <w:name w:val="无标题条"/>
    <w:next w:val="57"/>
    <w:autoRedefine/>
    <w:qFormat/>
    <w:uiPriority w:val="0"/>
    <w:pPr>
      <w:jc w:val="both"/>
    </w:pPr>
    <w:rPr>
      <w:rFonts w:ascii="宋体" w:hAnsi="宋体" w:eastAsia="宋体" w:cs="Times New Roman"/>
      <w:sz w:val="21"/>
      <w:lang w:val="en-US" w:eastAsia="zh-CN" w:bidi="ar-SA"/>
    </w:rPr>
  </w:style>
  <w:style w:type="paragraph" w:customStyle="1" w:styleId="159">
    <w:name w:val="五级无标题条"/>
    <w:basedOn w:val="1"/>
    <w:autoRedefine/>
    <w:qFormat/>
    <w:uiPriority w:val="0"/>
    <w:pPr>
      <w:numPr>
        <w:ilvl w:val="6"/>
        <w:numId w:val="20"/>
      </w:numPr>
      <w:adjustRightInd/>
    </w:pPr>
    <w:rPr>
      <w:szCs w:val="24"/>
    </w:rPr>
  </w:style>
  <w:style w:type="paragraph" w:customStyle="1" w:styleId="160">
    <w:name w:val="一级无标题条"/>
    <w:basedOn w:val="1"/>
    <w:autoRedefine/>
    <w:qFormat/>
    <w:uiPriority w:val="0"/>
    <w:pPr>
      <w:numPr>
        <w:ilvl w:val="2"/>
        <w:numId w:val="20"/>
      </w:numPr>
      <w:adjustRightInd/>
      <w:spacing w:before="10" w:after="10" w:line="240" w:lineRule="auto"/>
    </w:pPr>
    <w:rPr>
      <w:rFonts w:ascii="宋体" w:hAnsi="宋体"/>
      <w:szCs w:val="24"/>
    </w:rPr>
  </w:style>
  <w:style w:type="paragraph" w:customStyle="1" w:styleId="161">
    <w:name w:val="注:后续"/>
    <w:autoRedefine/>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2">
    <w:name w:val="注×:后续"/>
    <w:basedOn w:val="161"/>
    <w:qFormat/>
    <w:uiPriority w:val="0"/>
    <w:pPr>
      <w:ind w:left="1406" w:leftChars="0" w:hanging="499" w:firstLineChars="0"/>
    </w:pPr>
  </w:style>
  <w:style w:type="paragraph" w:customStyle="1" w:styleId="163">
    <w:name w:val="标准文件_一级无标题"/>
    <w:basedOn w:val="106"/>
    <w:autoRedefine/>
    <w:qFormat/>
    <w:uiPriority w:val="0"/>
    <w:pPr>
      <w:spacing w:before="0" w:beforeLines="0" w:after="0" w:afterLines="0"/>
      <w:outlineLvl w:val="9"/>
    </w:pPr>
    <w:rPr>
      <w:rFonts w:ascii="宋体" w:eastAsia="宋体"/>
    </w:rPr>
  </w:style>
  <w:style w:type="paragraph" w:customStyle="1" w:styleId="164">
    <w:name w:val="标准文件_五级无标题"/>
    <w:basedOn w:val="104"/>
    <w:autoRedefine/>
    <w:qFormat/>
    <w:uiPriority w:val="0"/>
    <w:pPr>
      <w:spacing w:before="0" w:beforeLines="0" w:after="0" w:afterLines="0"/>
      <w:outlineLvl w:val="9"/>
    </w:pPr>
    <w:rPr>
      <w:rFonts w:ascii="宋体" w:eastAsia="宋体"/>
    </w:rPr>
  </w:style>
  <w:style w:type="paragraph" w:customStyle="1" w:styleId="165">
    <w:name w:val="标准文件_三级无标题"/>
    <w:basedOn w:val="95"/>
    <w:qFormat/>
    <w:uiPriority w:val="0"/>
    <w:pPr>
      <w:spacing w:before="0" w:beforeLines="0" w:after="0" w:afterLines="0"/>
      <w:outlineLvl w:val="9"/>
    </w:pPr>
    <w:rPr>
      <w:rFonts w:ascii="宋体" w:eastAsia="宋体"/>
    </w:rPr>
  </w:style>
  <w:style w:type="paragraph" w:customStyle="1" w:styleId="166">
    <w:name w:val="标准文件_二级无标题"/>
    <w:basedOn w:val="66"/>
    <w:autoRedefine/>
    <w:qFormat/>
    <w:uiPriority w:val="0"/>
    <w:pPr>
      <w:spacing w:before="0" w:beforeLines="0" w:after="0" w:afterLines="0"/>
      <w:outlineLvl w:val="9"/>
    </w:pPr>
    <w:rPr>
      <w:rFonts w:ascii="宋体" w:eastAsia="宋体"/>
    </w:rPr>
  </w:style>
  <w:style w:type="paragraph" w:customStyle="1" w:styleId="167">
    <w:name w:val="标准_四级无标题"/>
    <w:basedOn w:val="99"/>
    <w:next w:val="57"/>
    <w:qFormat/>
    <w:uiPriority w:val="0"/>
    <w:rPr>
      <w:rFonts w:eastAsia="宋体"/>
    </w:rPr>
  </w:style>
  <w:style w:type="paragraph" w:customStyle="1" w:styleId="168">
    <w:name w:val="标准文件_四级无标题"/>
    <w:basedOn w:val="99"/>
    <w:qFormat/>
    <w:uiPriority w:val="0"/>
    <w:pPr>
      <w:spacing w:before="0" w:beforeLines="0" w:after="0" w:afterLines="0"/>
      <w:outlineLvl w:val="9"/>
    </w:pPr>
    <w:rPr>
      <w:rFonts w:ascii="宋体" w:hAnsi="黑体" w:eastAsia="宋体"/>
      <w:szCs w:val="52"/>
    </w:rPr>
  </w:style>
  <w:style w:type="paragraph" w:customStyle="1" w:styleId="169">
    <w:name w:val="标准文件_大写罗马数字编号列项"/>
    <w:basedOn w:val="57"/>
    <w:qFormat/>
    <w:uiPriority w:val="0"/>
    <w:pPr>
      <w:numPr>
        <w:ilvl w:val="0"/>
        <w:numId w:val="23"/>
      </w:numPr>
      <w:ind w:firstLine="0" w:firstLineChars="0"/>
    </w:pPr>
    <w:rPr>
      <w:rFonts w:ascii="Times New Roman" w:cs="Arial"/>
      <w:szCs w:val="28"/>
    </w:rPr>
  </w:style>
  <w:style w:type="paragraph" w:customStyle="1" w:styleId="170">
    <w:name w:val="标准文件_小写罗马数字编号列项"/>
    <w:basedOn w:val="57"/>
    <w:qFormat/>
    <w:uiPriority w:val="0"/>
    <w:pPr>
      <w:numPr>
        <w:ilvl w:val="0"/>
        <w:numId w:val="24"/>
      </w:numPr>
      <w:ind w:firstLine="0" w:firstLineChars="0"/>
    </w:pPr>
    <w:rPr>
      <w:rFonts w:cs="Arial"/>
      <w:szCs w:val="28"/>
    </w:rPr>
  </w:style>
  <w:style w:type="paragraph" w:customStyle="1" w:styleId="171">
    <w:name w:val="标准文件_附录标题"/>
    <w:basedOn w:val="77"/>
    <w:autoRedefine/>
    <w:qFormat/>
    <w:uiPriority w:val="0"/>
    <w:pPr>
      <w:numPr>
        <w:numId w:val="0"/>
      </w:numPr>
      <w:spacing w:after="280"/>
      <w:outlineLvl w:val="9"/>
    </w:pPr>
  </w:style>
  <w:style w:type="paragraph" w:customStyle="1" w:styleId="172">
    <w:name w:val="标准文件_二级项"/>
    <w:qFormat/>
    <w:uiPriority w:val="0"/>
    <w:rPr>
      <w:rFonts w:ascii="宋体" w:hAnsi="Times New Roman" w:eastAsia="宋体" w:cs="Times New Roman"/>
      <w:sz w:val="21"/>
      <w:lang w:val="en-US" w:eastAsia="zh-CN" w:bidi="ar-SA"/>
    </w:rPr>
  </w:style>
  <w:style w:type="paragraph" w:customStyle="1" w:styleId="173">
    <w:name w:val="标准文件_三级项"/>
    <w:basedOn w:val="1"/>
    <w:autoRedefine/>
    <w:qFormat/>
    <w:uiPriority w:val="0"/>
    <w:pPr>
      <w:numPr>
        <w:ilvl w:val="2"/>
        <w:numId w:val="21"/>
      </w:numPr>
      <w:spacing w:line="536870612" w:lineRule="auto"/>
    </w:pPr>
    <w:rPr>
      <w:rFonts w:ascii="Times New Roman" w:hAnsi="Times New Roman"/>
    </w:rPr>
  </w:style>
  <w:style w:type="paragraph" w:customStyle="1" w:styleId="174">
    <w:name w:val="图表脚注说明"/>
    <w:basedOn w:val="1"/>
    <w:next w:val="57"/>
    <w:autoRedefine/>
    <w:qFormat/>
    <w:uiPriority w:val="0"/>
    <w:pPr>
      <w:numPr>
        <w:ilvl w:val="0"/>
        <w:numId w:val="25"/>
      </w:numPr>
      <w:adjustRightInd/>
      <w:spacing w:line="240" w:lineRule="auto"/>
    </w:pPr>
    <w:rPr>
      <w:rFonts w:ascii="宋体" w:hAnsi="Times New Roman"/>
      <w:sz w:val="18"/>
      <w:szCs w:val="18"/>
    </w:rPr>
  </w:style>
  <w:style w:type="paragraph" w:customStyle="1" w:styleId="175">
    <w:name w:val="标准文件_字母编号列项（一级）"/>
    <w:autoRedefine/>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6">
    <w:name w:val="标准文件_索引字母"/>
    <w:next w:val="57"/>
    <w:autoRedefine/>
    <w:qFormat/>
    <w:uiPriority w:val="0"/>
    <w:pPr>
      <w:jc w:val="center"/>
    </w:pPr>
    <w:rPr>
      <w:rFonts w:ascii="宋体" w:hAnsi="宋体" w:eastAsia="Times New Roman" w:cs="Times New Roman"/>
      <w:b/>
      <w:kern w:val="2"/>
      <w:sz w:val="21"/>
      <w:lang w:val="en-US" w:eastAsia="zh-CN" w:bidi="ar-SA"/>
    </w:rPr>
  </w:style>
  <w:style w:type="paragraph" w:customStyle="1" w:styleId="177">
    <w:name w:val="标准文件_附录前"/>
    <w:next w:val="57"/>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8">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79">
    <w:name w:val="标准文件_表格"/>
    <w:basedOn w:val="57"/>
    <w:qFormat/>
    <w:uiPriority w:val="0"/>
    <w:pPr>
      <w:ind w:firstLine="0" w:firstLineChars="0"/>
      <w:jc w:val="center"/>
    </w:pPr>
    <w:rPr>
      <w:sz w:val="18"/>
    </w:rPr>
  </w:style>
  <w:style w:type="paragraph" w:customStyle="1" w:styleId="180">
    <w:name w:val="标准文件_注："/>
    <w:next w:val="57"/>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注×："/>
    <w:autoRedefine/>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2">
    <w:name w:val="标准文件_示例："/>
    <w:next w:val="183"/>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3">
    <w:name w:val="标准文件_示例内容"/>
    <w:basedOn w:val="57"/>
    <w:qFormat/>
    <w:uiPriority w:val="0"/>
    <w:rPr>
      <w:sz w:val="18"/>
    </w:rPr>
  </w:style>
  <w:style w:type="paragraph" w:customStyle="1" w:styleId="184">
    <w:name w:val="标准文件_示例×："/>
    <w:basedOn w:val="1"/>
    <w:next w:val="183"/>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5">
    <w:name w:val="标准文件_段 Char"/>
    <w:link w:val="57"/>
    <w:qFormat/>
    <w:uiPriority w:val="0"/>
    <w:rPr>
      <w:rFonts w:ascii="宋体" w:hAnsi="Times New Roman"/>
      <w:sz w:val="21"/>
    </w:rPr>
  </w:style>
  <w:style w:type="paragraph" w:customStyle="1" w:styleId="186">
    <w:name w:val="标准文件_表格续"/>
    <w:basedOn w:val="57"/>
    <w:next w:val="57"/>
    <w:qFormat/>
    <w:uiPriority w:val="0"/>
    <w:pPr>
      <w:jc w:val="center"/>
    </w:pPr>
    <w:rPr>
      <w:rFonts w:ascii="黑体" w:hAnsi="黑体" w:eastAsia="黑体"/>
    </w:rPr>
  </w:style>
  <w:style w:type="character" w:styleId="187">
    <w:name w:val="Placeholder Text"/>
    <w:basedOn w:val="29"/>
    <w:semiHidden/>
    <w:qFormat/>
    <w:uiPriority w:val="99"/>
    <w:rPr>
      <w:color w:val="808080"/>
    </w:rPr>
  </w:style>
  <w:style w:type="paragraph" w:customStyle="1" w:styleId="188">
    <w:name w:val="标准文件_二级项2"/>
    <w:basedOn w:val="57"/>
    <w:qFormat/>
    <w:uiPriority w:val="0"/>
    <w:pPr>
      <w:numPr>
        <w:ilvl w:val="1"/>
        <w:numId w:val="21"/>
      </w:numPr>
      <w:ind w:firstLine="0" w:firstLineChars="0"/>
    </w:pPr>
  </w:style>
  <w:style w:type="paragraph" w:customStyle="1" w:styleId="189">
    <w:name w:val="标准文件_三级项2"/>
    <w:basedOn w:val="57"/>
    <w:autoRedefine/>
    <w:qFormat/>
    <w:uiPriority w:val="0"/>
    <w:pPr>
      <w:numPr>
        <w:ilvl w:val="0"/>
        <w:numId w:val="30"/>
      </w:numPr>
      <w:spacing w:line="300" w:lineRule="exact"/>
      <w:ind w:firstLineChars="0"/>
    </w:pPr>
    <w:rPr>
      <w:rFonts w:ascii="Times New Roman"/>
    </w:rPr>
  </w:style>
  <w:style w:type="paragraph" w:customStyle="1" w:styleId="190">
    <w:name w:val="标准文件_一级项2"/>
    <w:basedOn w:val="57"/>
    <w:autoRedefine/>
    <w:qFormat/>
    <w:uiPriority w:val="0"/>
    <w:pPr>
      <w:numPr>
        <w:ilvl w:val="0"/>
        <w:numId w:val="31"/>
      </w:numPr>
      <w:spacing w:line="300" w:lineRule="exact"/>
      <w:ind w:firstLineChars="0"/>
    </w:pPr>
    <w:rPr>
      <w:rFonts w:ascii="Times New Roman"/>
    </w:rPr>
  </w:style>
  <w:style w:type="paragraph" w:customStyle="1" w:styleId="191">
    <w:name w:val="标准文件_提示"/>
    <w:basedOn w:val="57"/>
    <w:next w:val="57"/>
    <w:qFormat/>
    <w:uiPriority w:val="0"/>
    <w:rPr>
      <w:rFonts w:ascii="黑体" w:eastAsia="黑体"/>
    </w:rPr>
  </w:style>
  <w:style w:type="character" w:customStyle="1" w:styleId="192">
    <w:name w:val="标准文件_来源"/>
    <w:basedOn w:val="29"/>
    <w:qFormat/>
    <w:uiPriority w:val="1"/>
    <w:rPr>
      <w:rFonts w:eastAsia="宋体"/>
      <w:sz w:val="21"/>
    </w:rPr>
  </w:style>
  <w:style w:type="paragraph" w:customStyle="1" w:styleId="193">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4">
    <w:name w:val="其他发布日期"/>
    <w:basedOn w:val="121"/>
    <w:autoRedefine/>
    <w:qFormat/>
    <w:uiPriority w:val="0"/>
    <w:pPr>
      <w:framePr w:w="3997" w:h="471" w:hRule="exact" w:hSpace="0" w:vSpace="181" w:wrap="around" w:vAnchor="page" w:hAnchor="page" w:x="1419" w:y="14097"/>
    </w:pPr>
  </w:style>
  <w:style w:type="paragraph" w:customStyle="1" w:styleId="195">
    <w:name w:val="其他实施日期"/>
    <w:basedOn w:val="155"/>
    <w:autoRedefine/>
    <w:qFormat/>
    <w:uiPriority w:val="0"/>
    <w:pPr>
      <w:framePr w:w="3997" w:h="471" w:hRule="exact" w:vSpace="181" w:wrap="around" w:vAnchor="page" w:hAnchor="page" w:x="7089" w:y="14097"/>
    </w:pPr>
  </w:style>
  <w:style w:type="paragraph" w:customStyle="1" w:styleId="196">
    <w:name w:val="标准文件_文件编号"/>
    <w:basedOn w:val="57"/>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7">
    <w:name w:val="标准文件_替换文件编号"/>
    <w:basedOn w:val="196"/>
    <w:qFormat/>
    <w:uiPriority w:val="0"/>
    <w:pPr>
      <w:spacing w:before="57"/>
    </w:pPr>
    <w:rPr>
      <w:sz w:val="21"/>
    </w:rPr>
  </w:style>
  <w:style w:type="paragraph" w:customStyle="1" w:styleId="198">
    <w:name w:val="标准文件_文件名称"/>
    <w:basedOn w:val="57"/>
    <w:next w:val="57"/>
    <w:autoRedefine/>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199">
    <w:name w:val="标准文件_附录图标号"/>
    <w:basedOn w:val="57"/>
    <w:next w:val="57"/>
    <w:autoRedefine/>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200">
    <w:name w:val="标准文件_附录表标号"/>
    <w:basedOn w:val="57"/>
    <w:next w:val="57"/>
    <w:autoRedefine/>
    <w:qFormat/>
    <w:uiPriority w:val="0"/>
    <w:pPr>
      <w:numPr>
        <w:ilvl w:val="0"/>
        <w:numId w:val="5"/>
      </w:numPr>
      <w:spacing w:line="14" w:lineRule="exact"/>
      <w:ind w:firstLine="0" w:firstLineChars="0"/>
      <w:jc w:val="center"/>
    </w:pPr>
    <w:rPr>
      <w:rFonts w:eastAsia="黑体"/>
      <w:vanish/>
      <w:sz w:val="2"/>
    </w:rPr>
  </w:style>
  <w:style w:type="paragraph" w:customStyle="1" w:styleId="201">
    <w:name w:val="标准文件_引言一级条标题"/>
    <w:basedOn w:val="57"/>
    <w:next w:val="57"/>
    <w:autoRedefine/>
    <w:qFormat/>
    <w:uiPriority w:val="0"/>
    <w:pPr>
      <w:numPr>
        <w:ilvl w:val="1"/>
        <w:numId w:val="8"/>
      </w:numPr>
      <w:spacing w:before="50" w:beforeLines="50" w:after="50" w:afterLines="50"/>
      <w:ind w:firstLineChars="0"/>
    </w:pPr>
    <w:rPr>
      <w:rFonts w:ascii="黑体" w:eastAsia="黑体"/>
    </w:rPr>
  </w:style>
  <w:style w:type="paragraph" w:customStyle="1" w:styleId="202">
    <w:name w:val="标准文件_引言二级条标题"/>
    <w:basedOn w:val="57"/>
    <w:next w:val="57"/>
    <w:autoRedefine/>
    <w:qFormat/>
    <w:uiPriority w:val="0"/>
    <w:pPr>
      <w:numPr>
        <w:ilvl w:val="2"/>
        <w:numId w:val="8"/>
      </w:numPr>
      <w:spacing w:before="50" w:beforeLines="50" w:after="50" w:afterLines="50"/>
      <w:ind w:firstLineChars="0"/>
    </w:pPr>
    <w:rPr>
      <w:rFonts w:ascii="黑体" w:eastAsia="黑体"/>
    </w:rPr>
  </w:style>
  <w:style w:type="paragraph" w:customStyle="1" w:styleId="203">
    <w:name w:val="标准文件_引言三级条标题"/>
    <w:basedOn w:val="57"/>
    <w:next w:val="57"/>
    <w:autoRedefine/>
    <w:qFormat/>
    <w:uiPriority w:val="0"/>
    <w:pPr>
      <w:numPr>
        <w:ilvl w:val="3"/>
        <w:numId w:val="8"/>
      </w:numPr>
      <w:spacing w:before="50" w:beforeLines="50" w:after="50" w:afterLines="50"/>
      <w:ind w:firstLineChars="0"/>
    </w:pPr>
    <w:rPr>
      <w:rFonts w:ascii="黑体" w:eastAsia="黑体"/>
    </w:rPr>
  </w:style>
  <w:style w:type="paragraph" w:customStyle="1" w:styleId="204">
    <w:name w:val="标准文件_引言四级条标题"/>
    <w:basedOn w:val="57"/>
    <w:next w:val="57"/>
    <w:autoRedefine/>
    <w:qFormat/>
    <w:uiPriority w:val="0"/>
    <w:pPr>
      <w:numPr>
        <w:ilvl w:val="4"/>
        <w:numId w:val="8"/>
      </w:numPr>
      <w:spacing w:before="50" w:beforeLines="50" w:after="50" w:afterLines="50"/>
      <w:ind w:firstLineChars="0"/>
    </w:pPr>
    <w:rPr>
      <w:rFonts w:ascii="黑体" w:eastAsia="黑体"/>
    </w:rPr>
  </w:style>
  <w:style w:type="paragraph" w:customStyle="1" w:styleId="205">
    <w:name w:val="标准文件_引言五级条标题"/>
    <w:basedOn w:val="57"/>
    <w:next w:val="57"/>
    <w:autoRedefine/>
    <w:qFormat/>
    <w:uiPriority w:val="0"/>
    <w:pPr>
      <w:numPr>
        <w:ilvl w:val="5"/>
        <w:numId w:val="8"/>
      </w:numPr>
      <w:spacing w:before="50" w:beforeLines="50" w:after="50" w:afterLines="50"/>
      <w:ind w:firstLineChars="0"/>
    </w:pPr>
    <w:rPr>
      <w:rFonts w:ascii="黑体" w:eastAsia="黑体"/>
    </w:rPr>
  </w:style>
  <w:style w:type="paragraph" w:customStyle="1" w:styleId="206">
    <w:name w:val="标准文件_注后"/>
    <w:basedOn w:val="57"/>
    <w:autoRedefine/>
    <w:qFormat/>
    <w:uiPriority w:val="0"/>
    <w:pPr>
      <w:ind w:left="811" w:firstLine="0" w:firstLineChars="0"/>
    </w:pPr>
    <w:rPr>
      <w:sz w:val="18"/>
    </w:rPr>
  </w:style>
  <w:style w:type="paragraph" w:customStyle="1" w:styleId="207">
    <w:name w:val="标准文件_注X后"/>
    <w:basedOn w:val="57"/>
    <w:autoRedefine/>
    <w:qFormat/>
    <w:uiPriority w:val="0"/>
    <w:pPr>
      <w:ind w:left="811" w:firstLine="0" w:firstLineChars="0"/>
    </w:pPr>
    <w:rPr>
      <w:sz w:val="18"/>
    </w:rPr>
  </w:style>
  <w:style w:type="paragraph" w:customStyle="1" w:styleId="208">
    <w:name w:val="标准文件_示例后"/>
    <w:basedOn w:val="57"/>
    <w:autoRedefine/>
    <w:qFormat/>
    <w:uiPriority w:val="0"/>
    <w:pPr>
      <w:ind w:left="964" w:firstLine="0" w:firstLineChars="0"/>
    </w:pPr>
    <w:rPr>
      <w:sz w:val="18"/>
    </w:rPr>
  </w:style>
  <w:style w:type="paragraph" w:customStyle="1" w:styleId="209">
    <w:name w:val="标准文件_示例X后"/>
    <w:basedOn w:val="57"/>
    <w:link w:val="210"/>
    <w:qFormat/>
    <w:uiPriority w:val="0"/>
    <w:pPr>
      <w:ind w:left="1049" w:firstLine="0" w:firstLineChars="0"/>
    </w:pPr>
    <w:rPr>
      <w:sz w:val="18"/>
    </w:rPr>
  </w:style>
  <w:style w:type="character" w:customStyle="1" w:styleId="210">
    <w:name w:val="标准文件_示例X后 字符"/>
    <w:basedOn w:val="185"/>
    <w:link w:val="209"/>
    <w:autoRedefine/>
    <w:qFormat/>
    <w:uiPriority w:val="0"/>
    <w:rPr>
      <w:rFonts w:ascii="宋体" w:hAnsi="Times New Roman"/>
      <w:sz w:val="18"/>
    </w:rPr>
  </w:style>
  <w:style w:type="paragraph" w:customStyle="1" w:styleId="211">
    <w:name w:val="标准文件_索引项"/>
    <w:basedOn w:val="57"/>
    <w:next w:val="57"/>
    <w:autoRedefine/>
    <w:qFormat/>
    <w:uiPriority w:val="0"/>
    <w:pPr>
      <w:tabs>
        <w:tab w:val="right" w:leader="dot" w:pos="9356"/>
      </w:tabs>
      <w:ind w:left="210" w:hanging="210" w:firstLineChars="0"/>
      <w:jc w:val="left"/>
    </w:pPr>
  </w:style>
  <w:style w:type="paragraph" w:customStyle="1" w:styleId="212">
    <w:name w:val="标准文件_附录一级无标题"/>
    <w:basedOn w:val="79"/>
    <w:autoRedefine/>
    <w:qFormat/>
    <w:uiPriority w:val="0"/>
    <w:pPr>
      <w:spacing w:before="0" w:beforeLines="0" w:after="0" w:afterLines="0" w:line="276" w:lineRule="auto"/>
      <w:outlineLvl w:val="9"/>
    </w:pPr>
    <w:rPr>
      <w:rFonts w:ascii="宋体" w:eastAsia="宋体"/>
    </w:rPr>
  </w:style>
  <w:style w:type="paragraph" w:customStyle="1" w:styleId="213">
    <w:name w:val="标准文件_附录二级无标题"/>
    <w:basedOn w:val="80"/>
    <w:autoRedefine/>
    <w:qFormat/>
    <w:uiPriority w:val="0"/>
    <w:pPr>
      <w:spacing w:before="0" w:beforeLines="0" w:after="0" w:afterLines="0" w:line="276" w:lineRule="auto"/>
      <w:outlineLvl w:val="9"/>
    </w:pPr>
    <w:rPr>
      <w:rFonts w:ascii="宋体" w:eastAsia="宋体"/>
    </w:rPr>
  </w:style>
  <w:style w:type="paragraph" w:customStyle="1" w:styleId="214">
    <w:name w:val="标准文件_附录三级无标题"/>
    <w:basedOn w:val="82"/>
    <w:autoRedefine/>
    <w:qFormat/>
    <w:uiPriority w:val="0"/>
    <w:pPr>
      <w:spacing w:before="0" w:beforeLines="0" w:after="0" w:afterLines="0" w:line="276" w:lineRule="auto"/>
      <w:outlineLvl w:val="9"/>
    </w:pPr>
    <w:rPr>
      <w:rFonts w:ascii="宋体" w:eastAsia="宋体"/>
    </w:rPr>
  </w:style>
  <w:style w:type="paragraph" w:customStyle="1" w:styleId="215">
    <w:name w:val="标准文件_附录四级无标题"/>
    <w:basedOn w:val="83"/>
    <w:qFormat/>
    <w:uiPriority w:val="0"/>
    <w:pPr>
      <w:spacing w:before="0" w:beforeLines="0" w:after="0" w:afterLines="0" w:line="276" w:lineRule="auto"/>
      <w:outlineLvl w:val="9"/>
    </w:pPr>
    <w:rPr>
      <w:rFonts w:ascii="宋体" w:eastAsia="宋体"/>
    </w:rPr>
  </w:style>
  <w:style w:type="paragraph" w:customStyle="1" w:styleId="216">
    <w:name w:val="标准文件_附录五级无标题"/>
    <w:basedOn w:val="85"/>
    <w:autoRedefine/>
    <w:qFormat/>
    <w:uiPriority w:val="0"/>
    <w:pPr>
      <w:spacing w:before="0" w:beforeLines="0" w:after="0" w:afterLines="0" w:line="276" w:lineRule="auto"/>
      <w:outlineLvl w:val="9"/>
    </w:pPr>
    <w:rPr>
      <w:rFonts w:ascii="宋体" w:eastAsia="宋体"/>
    </w:rPr>
  </w:style>
  <w:style w:type="paragraph" w:customStyle="1" w:styleId="217">
    <w:name w:val="标准文件_引言一级无标题"/>
    <w:basedOn w:val="201"/>
    <w:next w:val="57"/>
    <w:autoRedefine/>
    <w:qFormat/>
    <w:uiPriority w:val="0"/>
    <w:pPr>
      <w:spacing w:before="0" w:beforeLines="0" w:after="0" w:afterLines="0" w:line="276" w:lineRule="auto"/>
    </w:pPr>
    <w:rPr>
      <w:rFonts w:ascii="宋体" w:eastAsia="宋体"/>
    </w:rPr>
  </w:style>
  <w:style w:type="paragraph" w:customStyle="1" w:styleId="218">
    <w:name w:val="标准文件_引言二级无标题"/>
    <w:basedOn w:val="202"/>
    <w:next w:val="57"/>
    <w:qFormat/>
    <w:uiPriority w:val="0"/>
    <w:pPr>
      <w:spacing w:before="0" w:beforeLines="0" w:after="0" w:afterLines="0" w:line="276" w:lineRule="auto"/>
    </w:pPr>
    <w:rPr>
      <w:rFonts w:ascii="宋体" w:eastAsia="宋体"/>
    </w:rPr>
  </w:style>
  <w:style w:type="paragraph" w:customStyle="1" w:styleId="219">
    <w:name w:val="标准文件_引言三级无标题"/>
    <w:basedOn w:val="203"/>
    <w:autoRedefine/>
    <w:qFormat/>
    <w:uiPriority w:val="0"/>
    <w:pPr>
      <w:spacing w:before="0" w:beforeLines="0" w:after="0" w:afterLines="0" w:line="276" w:lineRule="auto"/>
    </w:pPr>
    <w:rPr>
      <w:rFonts w:ascii="宋体" w:eastAsia="宋体"/>
    </w:rPr>
  </w:style>
  <w:style w:type="paragraph" w:customStyle="1" w:styleId="220">
    <w:name w:val="标准文件_引言四级无标题"/>
    <w:basedOn w:val="204"/>
    <w:next w:val="57"/>
    <w:autoRedefine/>
    <w:qFormat/>
    <w:uiPriority w:val="0"/>
    <w:pPr>
      <w:spacing w:before="0" w:beforeLines="0" w:after="0" w:afterLines="0" w:line="276" w:lineRule="auto"/>
    </w:pPr>
    <w:rPr>
      <w:rFonts w:ascii="宋体" w:eastAsia="宋体"/>
    </w:rPr>
  </w:style>
  <w:style w:type="paragraph" w:customStyle="1" w:styleId="221">
    <w:name w:val="标准文件_引言五级无标题"/>
    <w:basedOn w:val="205"/>
    <w:next w:val="57"/>
    <w:autoRedefine/>
    <w:qFormat/>
    <w:uiPriority w:val="0"/>
    <w:pPr>
      <w:spacing w:before="0" w:beforeLines="0" w:after="0" w:afterLines="0" w:line="276" w:lineRule="auto"/>
    </w:pPr>
    <w:rPr>
      <w:rFonts w:ascii="宋体" w:eastAsia="宋体"/>
    </w:rPr>
  </w:style>
  <w:style w:type="paragraph" w:customStyle="1" w:styleId="222">
    <w:name w:val="标准文件_索引标题"/>
    <w:basedOn w:val="64"/>
    <w:next w:val="57"/>
    <w:autoRedefine/>
    <w:qFormat/>
    <w:uiPriority w:val="0"/>
    <w:rPr>
      <w:rFonts w:hAnsi="黑体"/>
    </w:rPr>
  </w:style>
  <w:style w:type="paragraph" w:customStyle="1" w:styleId="223">
    <w:name w:val="标准文件_脚注内容"/>
    <w:basedOn w:val="57"/>
    <w:autoRedefine/>
    <w:qFormat/>
    <w:uiPriority w:val="0"/>
    <w:pPr>
      <w:ind w:left="400" w:leftChars="200" w:hanging="200" w:hangingChars="200"/>
    </w:pPr>
    <w:rPr>
      <w:sz w:val="15"/>
    </w:rPr>
  </w:style>
  <w:style w:type="paragraph" w:customStyle="1" w:styleId="224">
    <w:name w:val="标准文件_术语条一"/>
    <w:basedOn w:val="163"/>
    <w:next w:val="57"/>
    <w:autoRedefine/>
    <w:qFormat/>
    <w:uiPriority w:val="0"/>
  </w:style>
  <w:style w:type="paragraph" w:customStyle="1" w:styleId="225">
    <w:name w:val="标准文件_术语条二"/>
    <w:basedOn w:val="166"/>
    <w:next w:val="57"/>
    <w:autoRedefine/>
    <w:qFormat/>
    <w:uiPriority w:val="0"/>
  </w:style>
  <w:style w:type="paragraph" w:customStyle="1" w:styleId="226">
    <w:name w:val="标准文件_术语条三"/>
    <w:basedOn w:val="165"/>
    <w:next w:val="57"/>
    <w:autoRedefine/>
    <w:qFormat/>
    <w:uiPriority w:val="0"/>
  </w:style>
  <w:style w:type="paragraph" w:customStyle="1" w:styleId="227">
    <w:name w:val="标准文件_术语条四"/>
    <w:basedOn w:val="168"/>
    <w:next w:val="57"/>
    <w:autoRedefine/>
    <w:qFormat/>
    <w:uiPriority w:val="0"/>
  </w:style>
  <w:style w:type="paragraph" w:customStyle="1" w:styleId="228">
    <w:name w:val="标准文件_术语条五"/>
    <w:basedOn w:val="164"/>
    <w:next w:val="57"/>
    <w:autoRedefine/>
    <w:qFormat/>
    <w:uiPriority w:val="0"/>
  </w:style>
  <w:style w:type="paragraph" w:customStyle="1" w:styleId="229">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30">
    <w:name w:val="发布"/>
    <w:basedOn w:val="29"/>
    <w:autoRedefine/>
    <w:qFormat/>
    <w:uiPriority w:val="0"/>
    <w:rPr>
      <w:rFonts w:ascii="黑体" w:eastAsia="黑体"/>
      <w:spacing w:val="85"/>
      <w:w w:val="100"/>
      <w:position w:val="3"/>
      <w:sz w:val="28"/>
      <w:szCs w:val="28"/>
    </w:rPr>
  </w:style>
  <w:style w:type="paragraph" w:customStyle="1" w:styleId="231">
    <w:name w:val="列表段落1"/>
    <w:basedOn w:val="1"/>
    <w:qFormat/>
    <w:uiPriority w:val="0"/>
    <w:pPr>
      <w:ind w:firstLine="420" w:firstLineChars="200"/>
    </w:pPr>
  </w:style>
  <w:style w:type="character" w:customStyle="1" w:styleId="232">
    <w:name w:val="15"/>
    <w:basedOn w:val="29"/>
    <w:uiPriority w:val="0"/>
    <w:rPr>
      <w:rFonts w:hint="eastAsia" w:ascii="宋体" w:hAnsi="Times New Roman" w:eastAsia="宋体"/>
      <w:spacing w:val="0"/>
      <w:sz w:val="21"/>
      <w:szCs w:val="21"/>
    </w:rPr>
  </w:style>
  <w:style w:type="character" w:customStyle="1" w:styleId="233">
    <w:name w:val="16"/>
    <w:basedOn w:val="29"/>
    <w:uiPriority w:val="0"/>
    <w:rPr>
      <w:rFonts w:hint="eastAsia" w:ascii="宋体" w:hAnsi="Times New Roman" w:eastAsia="宋体"/>
      <w:spacing w:val="0"/>
      <w:sz w:val="21"/>
      <w:szCs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1" Type="http://schemas.openxmlformats.org/officeDocument/2006/relationships/glossaryDocument" Target="glossary/document.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2.jpeg"/><Relationship Id="rId15" Type="http://schemas.openxmlformats.org/officeDocument/2006/relationships/image" Target="media/image1.tiff"/><Relationship Id="rId14" Type="http://schemas.openxmlformats.org/officeDocument/2006/relationships/theme" Target="theme/theme1.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BF88FB1340874C7ABCB60BEA863211C3"/>
        <w:style w:val=""/>
        <w:category>
          <w:name w:val="常规"/>
          <w:gallery w:val="placeholder"/>
        </w:category>
        <w:types>
          <w:type w:val="bbPlcHdr"/>
        </w:types>
        <w:behaviors>
          <w:behavior w:val="content"/>
        </w:behaviors>
        <w:description w:val=""/>
        <w:guid w:val="{17835A41-477A-48C6-A29A-84EE7E3B3148}"/>
      </w:docPartPr>
      <w:docPartBody>
        <w:p w14:paraId="70758855">
          <w:pPr>
            <w:pStyle w:val="5"/>
          </w:pPr>
          <w:r>
            <w:rPr>
              <w:rStyle w:val="4"/>
              <w:rFonts w:hint="eastAsia"/>
            </w:rPr>
            <w:t>单击或点击此处输入文字。</w:t>
          </w:r>
        </w:p>
      </w:docPartBody>
    </w:docPart>
    <w:docPart>
      <w:docPartPr>
        <w:name w:val="52EDCECD5C7145778E240CF11B5B1410"/>
        <w:style w:val=""/>
        <w:category>
          <w:name w:val="常规"/>
          <w:gallery w:val="placeholder"/>
        </w:category>
        <w:types>
          <w:type w:val="bbPlcHdr"/>
        </w:types>
        <w:behaviors>
          <w:behavior w:val="content"/>
        </w:behaviors>
        <w:description w:val=""/>
        <w:guid w:val="{5F479BCB-12F8-4C56-824C-703D700DB8B2}"/>
      </w:docPartPr>
      <w:docPartBody>
        <w:p w14:paraId="2D616F5A">
          <w:pPr>
            <w:pStyle w:val="6"/>
          </w:pPr>
          <w:r>
            <w:rPr>
              <w:rStyle w:val="4"/>
              <w:rFonts w:hint="eastAsia"/>
            </w:rPr>
            <w:t>选择一项。</w:t>
          </w:r>
        </w:p>
      </w:docPartBody>
    </w:docPart>
    <w:docPart>
      <w:docPartPr>
        <w:name w:val="4861900171D149E6B55CD3FF210FA3D0"/>
        <w:style w:val=""/>
        <w:category>
          <w:name w:val="常规"/>
          <w:gallery w:val="placeholder"/>
        </w:category>
        <w:types>
          <w:type w:val="bbPlcHdr"/>
        </w:types>
        <w:behaviors>
          <w:behavior w:val="content"/>
        </w:behaviors>
        <w:description w:val=""/>
        <w:guid w:val="{FB46CB7C-2B5A-488D-AD47-2E6A9B8852EE}"/>
      </w:docPartPr>
      <w:docPartBody>
        <w:p w14:paraId="5E7397E3">
          <w:pPr>
            <w:pStyle w:val="7"/>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52F0"/>
    <w:rsid w:val="001D5BD4"/>
    <w:rsid w:val="00297355"/>
    <w:rsid w:val="004A6ED2"/>
    <w:rsid w:val="004B3002"/>
    <w:rsid w:val="004C1AD5"/>
    <w:rsid w:val="005845B0"/>
    <w:rsid w:val="005C52F0"/>
    <w:rsid w:val="007144B9"/>
    <w:rsid w:val="0074388D"/>
    <w:rsid w:val="0074444E"/>
    <w:rsid w:val="00B50250"/>
    <w:rsid w:val="00BD585E"/>
    <w:rsid w:val="00C874D0"/>
    <w:rsid w:val="00D20A34"/>
    <w:rsid w:val="00EA5D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iPriority="1" w:name="Default Paragraph Font"/>
    <w:lsdException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styleId="4">
    <w:name w:val="Placeholder Text"/>
    <w:basedOn w:val="2"/>
    <w:autoRedefine/>
    <w:semiHidden/>
    <w:qFormat/>
    <w:uiPriority w:val="99"/>
    <w:rPr>
      <w:color w:val="808080"/>
    </w:rPr>
  </w:style>
  <w:style w:type="paragraph" w:customStyle="1" w:styleId="5">
    <w:name w:val="BF88FB1340874C7ABCB60BEA863211C3"/>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52EDCECD5C7145778E240CF11B5B1410"/>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4861900171D149E6B55CD3FF210FA3D0"/>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CF03465-9310-430F-A8A0-DFC80D2CA8A6}">
  <ds:schemaRefs/>
</ds:datastoreItem>
</file>

<file path=docProps/app.xml><?xml version="1.0" encoding="utf-8"?>
<Properties xmlns="http://schemas.openxmlformats.org/officeDocument/2006/extended-properties" xmlns:vt="http://schemas.openxmlformats.org/officeDocument/2006/docPropsVTypes">
  <Template>地方标准</Template>
  <Company>PCMI</Company>
  <Pages>12</Pages>
  <Words>5128</Words>
  <Characters>5617</Characters>
  <Lines>53</Lines>
  <Paragraphs>15</Paragraphs>
  <TotalTime>13</TotalTime>
  <ScaleCrop>false</ScaleCrop>
  <LinksUpToDate>false</LinksUpToDate>
  <CharactersWithSpaces>5849</CharactersWithSpaces>
  <Application>WPS Office_12.1.0.18166_F1E327BC-269C-435d-A152-05C5408002CA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2024-04-20T02:19:00Z</dcterms:created>
  <dc:creator>shijian</dc:creator>
  <dc:description>&lt;config cover="true" show_menu="true" version="1.0.0" doctype="SDKXY"&gt;_x000d_
&lt;/config&gt;</dc:description>
  <cp:lastModifiedBy>海阔天空</cp:lastModifiedBy>
  <cp:lastPrinted>2020-08-30T10:00:00Z</cp:lastPrinted>
  <dcterms:modified xsi:type="dcterms:W3CDTF">2025-04-07T09:10:31Z</dcterms:modified>
  <dc:title>地方标准</dc:title>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2052-12.1.0.18166</vt:lpwstr>
  </property>
  <property fmtid="{D5CDD505-2E9C-101B-9397-08002B2CF9AE}" pid="15" name="ICV">
    <vt:lpwstr>211B3A062DA446BDAA0EDF147749688F_12</vt:lpwstr>
  </property>
</Properties>
</file>